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方正小标宋简体" w:hAnsi="楷体" w:eastAsia="方正小标宋简体"/>
          <w:szCs w:val="32"/>
        </w:rPr>
      </w:pPr>
      <w:r>
        <w:rPr>
          <w:rFonts w:hint="eastAsia" w:ascii="方正小标宋简体" w:hAnsi="楷体" w:eastAsia="方正小标宋简体"/>
          <w:szCs w:val="32"/>
        </w:rPr>
        <w:t>附件</w:t>
      </w:r>
    </w:p>
    <w:p>
      <w:pPr>
        <w:keepNext w:val="0"/>
        <w:keepLines w:val="0"/>
        <w:pageBreakBefore w:val="0"/>
        <w:kinsoku/>
        <w:wordWrap/>
        <w:overflowPunct/>
        <w:topLinePunct w:val="0"/>
        <w:autoSpaceDE/>
        <w:autoSpaceDN/>
        <w:bidi w:val="0"/>
        <w:adjustRightInd/>
        <w:snapToGrid/>
        <w:spacing w:line="660" w:lineRule="exact"/>
        <w:jc w:val="center"/>
        <w:textAlignment w:val="auto"/>
        <w:rPr>
          <w:rFonts w:ascii="方正小标宋简体" w:hAnsi="楷体" w:eastAsia="方正小标宋简体"/>
          <w:sz w:val="44"/>
          <w:szCs w:val="44"/>
        </w:rPr>
      </w:pPr>
      <w:r>
        <w:rPr>
          <w:rFonts w:hint="eastAsia" w:ascii="方正小标宋简体" w:hAnsi="楷体" w:eastAsia="方正小标宋简体"/>
          <w:sz w:val="44"/>
          <w:szCs w:val="44"/>
        </w:rPr>
        <w:t>杭衢铁路</w:t>
      </w:r>
      <w:r>
        <w:rPr>
          <w:rFonts w:hint="eastAsia" w:ascii="方正小标宋简体" w:hAnsi="楷体" w:eastAsia="方正小标宋简体"/>
          <w:sz w:val="44"/>
          <w:szCs w:val="44"/>
          <w:lang w:val="en-US" w:eastAsia="zh-CN"/>
        </w:rPr>
        <w:t>柯城段集体</w:t>
      </w:r>
      <w:r>
        <w:rPr>
          <w:rFonts w:hint="eastAsia" w:ascii="方正小标宋简体" w:hAnsi="楷体" w:eastAsia="方正小标宋简体"/>
          <w:sz w:val="44"/>
          <w:szCs w:val="44"/>
        </w:rPr>
        <w:t>土地上房屋征收</w:t>
      </w:r>
    </w:p>
    <w:p>
      <w:pPr>
        <w:keepNext w:val="0"/>
        <w:keepLines w:val="0"/>
        <w:pageBreakBefore w:val="0"/>
        <w:widowControl/>
        <w:kinsoku/>
        <w:wordWrap/>
        <w:overflowPunct/>
        <w:topLinePunct w:val="0"/>
        <w:autoSpaceDE/>
        <w:autoSpaceDN/>
        <w:bidi w:val="0"/>
        <w:adjustRightInd/>
        <w:snapToGrid/>
        <w:spacing w:line="660" w:lineRule="exact"/>
        <w:ind w:firstLine="880" w:firstLineChars="200"/>
        <w:contextualSpacing/>
        <w:jc w:val="center"/>
        <w:textAlignment w:val="auto"/>
        <w:rPr>
          <w:rFonts w:hint="eastAsia" w:ascii="方正小标宋简体" w:hAnsi="楷体" w:eastAsia="方正小标宋简体"/>
          <w:sz w:val="44"/>
          <w:szCs w:val="44"/>
          <w:lang w:eastAsia="zh-CN"/>
        </w:rPr>
      </w:pPr>
      <w:r>
        <w:rPr>
          <w:rFonts w:hint="eastAsia" w:ascii="方正小标宋简体" w:hAnsi="楷体" w:eastAsia="方正小标宋简体"/>
          <w:sz w:val="44"/>
          <w:szCs w:val="44"/>
        </w:rPr>
        <w:t>补偿</w:t>
      </w:r>
      <w:r>
        <w:rPr>
          <w:rFonts w:hint="eastAsia" w:ascii="方正小标宋简体" w:hAnsi="楷体" w:eastAsia="方正小标宋简体"/>
          <w:sz w:val="44"/>
          <w:szCs w:val="44"/>
          <w:lang w:val="en-US" w:eastAsia="zh-CN"/>
        </w:rPr>
        <w:t>安置</w:t>
      </w:r>
      <w:r>
        <w:rPr>
          <w:rFonts w:hint="eastAsia" w:ascii="方正小标宋简体" w:hAnsi="楷体" w:eastAsia="方正小标宋简体"/>
          <w:sz w:val="44"/>
          <w:szCs w:val="44"/>
        </w:rPr>
        <w:t>方案</w:t>
      </w:r>
      <w:r>
        <w:rPr>
          <w:rFonts w:hint="eastAsia" w:ascii="方正小标宋简体" w:hAnsi="楷体" w:eastAsia="方正小标宋简体"/>
          <w:sz w:val="44"/>
          <w:szCs w:val="44"/>
          <w:lang w:eastAsia="zh-CN"/>
        </w:rPr>
        <w:t>（华墅乡）</w:t>
      </w:r>
    </w:p>
    <w:p>
      <w:pPr>
        <w:keepNext w:val="0"/>
        <w:keepLines w:val="0"/>
        <w:pageBreakBefore w:val="0"/>
        <w:widowControl/>
        <w:kinsoku/>
        <w:wordWrap/>
        <w:overflowPunct/>
        <w:topLinePunct w:val="0"/>
        <w:autoSpaceDE/>
        <w:autoSpaceDN/>
        <w:bidi w:val="0"/>
        <w:adjustRightInd/>
        <w:snapToGrid/>
        <w:spacing w:line="660" w:lineRule="exact"/>
        <w:ind w:firstLine="960" w:firstLineChars="200"/>
        <w:contextualSpacing/>
        <w:jc w:val="center"/>
        <w:textAlignment w:val="auto"/>
        <w:rPr>
          <w:rFonts w:hint="eastAsia" w:asciiTheme="minorEastAsia" w:hAnsiTheme="minorEastAsia" w:eastAsiaTheme="minorEastAsia" w:cstheme="minorEastAsia"/>
          <w:sz w:val="48"/>
          <w:szCs w:val="48"/>
        </w:rPr>
      </w:pP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根据</w:t>
      </w:r>
      <w:r>
        <w:rPr>
          <w:rFonts w:hint="eastAsia" w:ascii="方正仿宋_GBK" w:hAnsi="方正仿宋_GBK" w:eastAsia="方正仿宋_GBK" w:cs="方正仿宋_GBK"/>
          <w:sz w:val="32"/>
          <w:szCs w:val="32"/>
        </w:rPr>
        <w:t>衢州市人民政府《关于</w:t>
      </w:r>
      <w:r>
        <w:rPr>
          <w:rFonts w:hint="eastAsia" w:ascii="方正仿宋_GBK" w:hAnsi="方正仿宋_GBK" w:eastAsia="方正仿宋_GBK" w:cs="方正仿宋_GBK"/>
          <w:sz w:val="32"/>
          <w:szCs w:val="32"/>
          <w:lang w:val="en-US" w:eastAsia="zh-CN"/>
        </w:rPr>
        <w:t>印发</w:t>
      </w:r>
      <w:r>
        <w:rPr>
          <w:rFonts w:hint="eastAsia" w:ascii="方正仿宋_GBK" w:hAnsi="方正仿宋_GBK" w:eastAsia="方正仿宋_GBK" w:cs="方正仿宋_GBK"/>
          <w:sz w:val="32"/>
          <w:szCs w:val="32"/>
        </w:rPr>
        <w:t>衢州市</w:t>
      </w:r>
      <w:r>
        <w:rPr>
          <w:rFonts w:hint="eastAsia" w:ascii="方正仿宋_GBK" w:hAnsi="方正仿宋_GBK" w:eastAsia="方正仿宋_GBK" w:cs="方正仿宋_GBK"/>
          <w:sz w:val="32"/>
          <w:szCs w:val="32"/>
          <w:lang w:val="en-US" w:eastAsia="zh-CN"/>
        </w:rPr>
        <w:t>区集体土地房屋征收补偿安置办法的通知</w:t>
      </w:r>
      <w:r>
        <w:rPr>
          <w:rFonts w:hint="eastAsia" w:ascii="方正仿宋_GBK" w:hAnsi="方正仿宋_GBK" w:eastAsia="方正仿宋_GBK" w:cs="方正仿宋_GBK"/>
          <w:sz w:val="32"/>
          <w:szCs w:val="32"/>
        </w:rPr>
        <w:t>》(衢</w:t>
      </w:r>
      <w:r>
        <w:rPr>
          <w:rFonts w:hint="eastAsia" w:ascii="方正仿宋_GBK" w:hAnsi="方正仿宋_GBK" w:eastAsia="方正仿宋_GBK" w:cs="方正仿宋_GBK"/>
          <w:sz w:val="32"/>
          <w:szCs w:val="32"/>
          <w:lang w:val="en-US" w:eastAsia="zh-CN"/>
        </w:rPr>
        <w:t>政发〔2019〕20号)</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shd w:val="clear" w:color="auto" w:fill="auto"/>
        </w:rPr>
        <w:t>衢州市柯城区</w:t>
      </w:r>
      <w:r>
        <w:rPr>
          <w:rFonts w:hint="eastAsia" w:ascii="方正仿宋_GBK" w:hAnsi="方正仿宋_GBK" w:eastAsia="方正仿宋_GBK" w:cs="方正仿宋_GBK"/>
          <w:sz w:val="32"/>
          <w:szCs w:val="32"/>
          <w:shd w:val="clear" w:color="auto" w:fill="auto"/>
          <w:lang w:val="en-US" w:eastAsia="zh-CN"/>
        </w:rPr>
        <w:t>人民政府办公室</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lang w:val="en-US" w:eastAsia="zh-CN"/>
        </w:rPr>
        <w:t>关于印发衢州市柯城区</w:t>
      </w:r>
      <w:r>
        <w:rPr>
          <w:rFonts w:hint="eastAsia" w:ascii="方正仿宋_GBK" w:hAnsi="方正仿宋_GBK" w:eastAsia="方正仿宋_GBK" w:cs="方正仿宋_GBK"/>
          <w:sz w:val="32"/>
          <w:szCs w:val="32"/>
          <w:shd w:val="clear" w:color="auto" w:fill="auto"/>
        </w:rPr>
        <w:t>集体土地上房屋征收补偿安置实施办法（试行）</w:t>
      </w:r>
      <w:r>
        <w:rPr>
          <w:rFonts w:hint="eastAsia" w:ascii="方正仿宋_GBK" w:hAnsi="方正仿宋_GBK" w:eastAsia="方正仿宋_GBK" w:cs="方正仿宋_GBK"/>
          <w:sz w:val="32"/>
          <w:szCs w:val="32"/>
          <w:shd w:val="clear" w:color="auto" w:fill="auto"/>
          <w:lang w:val="en-US" w:eastAsia="zh-CN"/>
        </w:rPr>
        <w:t>的通知</w:t>
      </w:r>
      <w:r>
        <w:rPr>
          <w:rFonts w:hint="eastAsia" w:ascii="方正仿宋_GBK" w:hAnsi="方正仿宋_GBK" w:eastAsia="方正仿宋_GBK" w:cs="方正仿宋_GBK"/>
          <w:sz w:val="32"/>
          <w:szCs w:val="32"/>
          <w:shd w:val="clear" w:color="auto" w:fill="auto"/>
          <w:lang w:eastAsia="zh-CN"/>
        </w:rPr>
        <w:t>》</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柯</w:t>
      </w:r>
      <w:r>
        <w:rPr>
          <w:rFonts w:hint="eastAsia" w:ascii="方正仿宋_GBK" w:hAnsi="方正仿宋_GBK" w:eastAsia="方正仿宋_GBK" w:cs="方正仿宋_GBK"/>
          <w:sz w:val="32"/>
          <w:szCs w:val="32"/>
          <w:shd w:val="clear" w:color="auto" w:fill="auto"/>
        </w:rPr>
        <w:t>政办发〔20</w:t>
      </w:r>
      <w:r>
        <w:rPr>
          <w:rFonts w:hint="eastAsia" w:ascii="方正仿宋_GBK" w:hAnsi="方正仿宋_GBK" w:eastAsia="方正仿宋_GBK" w:cs="方正仿宋_GBK"/>
          <w:sz w:val="32"/>
          <w:szCs w:val="32"/>
          <w:shd w:val="clear" w:color="auto" w:fill="auto"/>
          <w:lang w:val="en-US" w:eastAsia="zh-CN"/>
        </w:rPr>
        <w:t>20</w:t>
      </w: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13</w:t>
      </w:r>
      <w:r>
        <w:rPr>
          <w:rFonts w:hint="eastAsia" w:ascii="方正仿宋_GBK" w:hAnsi="方正仿宋_GBK" w:eastAsia="方正仿宋_GBK" w:cs="方正仿宋_GBK"/>
          <w:sz w:val="32"/>
          <w:szCs w:val="32"/>
          <w:shd w:val="clear" w:color="auto" w:fill="auto"/>
        </w:rPr>
        <w:t>号)</w:t>
      </w:r>
      <w:r>
        <w:rPr>
          <w:rFonts w:hint="eastAsia" w:ascii="方正仿宋_GBK" w:hAnsi="方正仿宋_GBK" w:eastAsia="方正仿宋_GBK" w:cs="方正仿宋_GBK"/>
          <w:sz w:val="32"/>
          <w:szCs w:val="32"/>
        </w:rPr>
        <w:t>规定，为加快杭衢铁路柯城段集体土地</w:t>
      </w:r>
      <w:r>
        <w:rPr>
          <w:rFonts w:hint="eastAsia" w:ascii="方正仿宋_GBK" w:hAnsi="方正仿宋_GBK" w:eastAsia="方正仿宋_GBK" w:cs="方正仿宋_GBK"/>
          <w:sz w:val="32"/>
          <w:szCs w:val="32"/>
          <w:lang w:val="en-US" w:eastAsia="zh-CN"/>
        </w:rPr>
        <w:t>上</w:t>
      </w:r>
      <w:r>
        <w:rPr>
          <w:rFonts w:hint="eastAsia" w:ascii="方正仿宋_GBK" w:hAnsi="方正仿宋_GBK" w:eastAsia="方正仿宋_GBK" w:cs="方正仿宋_GBK"/>
          <w:sz w:val="32"/>
          <w:szCs w:val="32"/>
        </w:rPr>
        <w:t>房屋征收，切实维护</w:t>
      </w:r>
      <w:r>
        <w:rPr>
          <w:rFonts w:hint="eastAsia" w:ascii="方正仿宋_GBK" w:hAnsi="方正仿宋_GBK" w:eastAsia="方正仿宋_GBK" w:cs="方正仿宋_GBK"/>
          <w:sz w:val="32"/>
          <w:szCs w:val="32"/>
          <w:lang w:eastAsia="zh-CN"/>
        </w:rPr>
        <w:t>被</w:t>
      </w:r>
      <w:r>
        <w:rPr>
          <w:rFonts w:hint="eastAsia" w:ascii="方正仿宋_GBK" w:hAnsi="方正仿宋_GBK" w:eastAsia="方正仿宋_GBK" w:cs="方正仿宋_GBK"/>
          <w:sz w:val="32"/>
          <w:szCs w:val="32"/>
          <w:lang w:val="en-US" w:eastAsia="zh-CN"/>
        </w:rPr>
        <w:t>征收户合法</w:t>
      </w:r>
      <w:r>
        <w:rPr>
          <w:rFonts w:hint="eastAsia" w:ascii="方正仿宋_GBK" w:hAnsi="方正仿宋_GBK" w:eastAsia="方正仿宋_GBK" w:cs="方正仿宋_GBK"/>
          <w:sz w:val="32"/>
          <w:szCs w:val="32"/>
        </w:rPr>
        <w:t>利益，确保阳光征收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公平征收、</w:t>
      </w:r>
      <w:r>
        <w:rPr>
          <w:rFonts w:hint="eastAsia" w:ascii="方正仿宋_GBK" w:hAnsi="方正仿宋_GBK" w:eastAsia="方正仿宋_GBK" w:cs="方正仿宋_GBK"/>
          <w:sz w:val="32"/>
          <w:szCs w:val="32"/>
        </w:rPr>
        <w:t>依法征收，</w:t>
      </w:r>
      <w:r>
        <w:rPr>
          <w:rFonts w:hint="eastAsia" w:ascii="方正仿宋_GBK" w:hAnsi="方正仿宋_GBK" w:eastAsia="方正仿宋_GBK" w:cs="方正仿宋_GBK"/>
          <w:sz w:val="32"/>
          <w:szCs w:val="32"/>
          <w:lang w:val="en-US" w:eastAsia="zh-CN"/>
        </w:rPr>
        <w:t>特制定本方案。</w:t>
      </w:r>
      <w:r>
        <w:rPr>
          <w:rFonts w:hint="eastAsia" w:ascii="方正仿宋_GBK" w:hAnsi="方正仿宋_GBK" w:eastAsia="方正仿宋_GBK" w:cs="方正仿宋_GBK"/>
          <w:sz w:val="32"/>
          <w:szCs w:val="32"/>
        </w:rPr>
        <w:t>具体</w:t>
      </w:r>
      <w:r>
        <w:rPr>
          <w:rFonts w:hint="eastAsia" w:ascii="方正仿宋_GBK" w:hAnsi="方正仿宋_GBK" w:eastAsia="方正仿宋_GBK" w:cs="方正仿宋_GBK"/>
          <w:sz w:val="32"/>
          <w:szCs w:val="32"/>
          <w:lang w:val="en-US" w:eastAsia="zh-CN"/>
        </w:rPr>
        <w:t>内容</w:t>
      </w:r>
      <w:r>
        <w:rPr>
          <w:rFonts w:hint="eastAsia" w:ascii="方正仿宋_GBK" w:hAnsi="方正仿宋_GBK" w:eastAsia="方正仿宋_GBK" w:cs="方正仿宋_GBK"/>
          <w:sz w:val="32"/>
          <w:szCs w:val="32"/>
        </w:rPr>
        <w:t>如下：</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rPr>
      </w:pPr>
      <w:r>
        <w:rPr>
          <w:rFonts w:hint="eastAsia" w:ascii="方正黑体_GBK" w:hAnsi="方正黑体_GBK" w:eastAsia="方正黑体_GBK" w:cs="方正黑体_GBK"/>
          <w:b w:val="0"/>
          <w:bCs w:val="0"/>
          <w:sz w:val="32"/>
          <w:szCs w:val="32"/>
          <w:shd w:val="clear" w:color="auto" w:fill="auto"/>
          <w:lang w:val="en-US" w:eastAsia="zh-CN"/>
        </w:rPr>
        <w:t>一、征收部门：</w:t>
      </w:r>
      <w:r>
        <w:rPr>
          <w:rFonts w:hint="eastAsia" w:ascii="方正仿宋_GBK" w:hAnsi="方正仿宋_GBK" w:eastAsia="方正仿宋_GBK" w:cs="方正仿宋_GBK"/>
          <w:sz w:val="32"/>
          <w:szCs w:val="32"/>
          <w:shd w:val="clear" w:color="auto" w:fill="auto"/>
          <w:lang w:val="en-US" w:eastAsia="zh-CN"/>
        </w:rPr>
        <w:t>衢州市自然资源和规划局。</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二、征收指导部门：</w:t>
      </w:r>
      <w:r>
        <w:rPr>
          <w:rFonts w:hint="eastAsia" w:ascii="方正仿宋_GBK" w:hAnsi="方正仿宋_GBK" w:eastAsia="方正仿宋_GBK" w:cs="方正仿宋_GBK"/>
          <w:sz w:val="32"/>
          <w:szCs w:val="32"/>
          <w:shd w:val="clear" w:color="auto" w:fill="auto"/>
          <w:lang w:val="en-US" w:eastAsia="zh-CN"/>
        </w:rPr>
        <w:t>衢州市柯城区杭衢铁路征迁工作指挥部办公室。</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黑体_GBK" w:hAnsi="方正黑体_GBK" w:eastAsia="方正黑体_GBK" w:cs="方正黑体_GBK"/>
          <w:b w:val="0"/>
          <w:bCs w:val="0"/>
          <w:sz w:val="32"/>
          <w:szCs w:val="32"/>
          <w:shd w:val="clear" w:color="auto" w:fill="auto"/>
          <w:lang w:val="en-US" w:eastAsia="zh-CN"/>
        </w:rPr>
        <w:t>三、实施单位：</w:t>
      </w:r>
      <w:r>
        <w:rPr>
          <w:rFonts w:hint="eastAsia" w:ascii="方正仿宋_GBK" w:hAnsi="方正仿宋_GBK" w:eastAsia="方正仿宋_GBK" w:cs="方正仿宋_GBK"/>
          <w:sz w:val="32"/>
          <w:szCs w:val="32"/>
          <w:shd w:val="clear" w:color="auto" w:fill="auto"/>
        </w:rPr>
        <w:t>衢州市柯城区</w:t>
      </w:r>
      <w:r>
        <w:rPr>
          <w:rFonts w:hint="eastAsia" w:ascii="方正仿宋_GBK" w:hAnsi="方正仿宋_GBK" w:eastAsia="方正仿宋_GBK" w:cs="方正仿宋_GBK"/>
          <w:sz w:val="32"/>
          <w:szCs w:val="32"/>
          <w:shd w:val="clear" w:color="auto" w:fill="auto"/>
          <w:lang w:val="en-US" w:eastAsia="zh-CN"/>
        </w:rPr>
        <w:t>华墅乡</w:t>
      </w:r>
      <w:r>
        <w:rPr>
          <w:rFonts w:hint="eastAsia" w:ascii="方正仿宋_GBK" w:hAnsi="方正仿宋_GBK" w:eastAsia="方正仿宋_GBK" w:cs="方正仿宋_GBK"/>
          <w:sz w:val="32"/>
          <w:szCs w:val="32"/>
          <w:shd w:val="clear" w:color="auto" w:fill="auto"/>
        </w:rPr>
        <w:t>人民政府</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四、补偿安置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（一）补偿安置方式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contextualSpacing/>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spacing w:val="-6"/>
          <w:sz w:val="32"/>
          <w:szCs w:val="32"/>
        </w:rPr>
        <w:t>实行迁建安置</w:t>
      </w:r>
      <w:r>
        <w:rPr>
          <w:rFonts w:hint="eastAsia" w:ascii="方正仿宋_GBK" w:hAnsi="方正仿宋_GBK" w:eastAsia="方正仿宋_GBK" w:cs="方正仿宋_GBK"/>
          <w:spacing w:val="-6"/>
          <w:sz w:val="32"/>
          <w:szCs w:val="32"/>
          <w:lang w:eastAsia="zh-CN"/>
        </w:rPr>
        <w:t>、</w:t>
      </w:r>
      <w:r>
        <w:rPr>
          <w:rFonts w:hint="eastAsia" w:ascii="方正仿宋_GBK" w:hAnsi="方正仿宋_GBK" w:eastAsia="方正仿宋_GBK" w:cs="方正仿宋_GBK"/>
          <w:spacing w:val="-6"/>
          <w:sz w:val="32"/>
          <w:szCs w:val="32"/>
        </w:rPr>
        <w:t>货币补偿</w:t>
      </w:r>
      <w:r>
        <w:rPr>
          <w:rFonts w:hint="eastAsia" w:ascii="方正仿宋_GBK" w:hAnsi="方正仿宋_GBK" w:eastAsia="方正仿宋_GBK" w:cs="方正仿宋_GBK"/>
          <w:spacing w:val="-6"/>
          <w:sz w:val="32"/>
          <w:szCs w:val="32"/>
          <w:lang w:val="en-US" w:eastAsia="zh-CN"/>
        </w:rPr>
        <w:t>安置</w:t>
      </w:r>
      <w:r>
        <w:rPr>
          <w:rFonts w:hint="eastAsia" w:ascii="方正仿宋_GBK" w:hAnsi="方正仿宋_GBK" w:eastAsia="方正仿宋_GBK" w:cs="方正仿宋_GBK"/>
          <w:spacing w:val="-6"/>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1.迁建安置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迁建安置是指由征收实施单位对被征收房屋进行补偿，由被征收人经审批自行建造安置住房。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自建安置房的，迁建安置面积，按农民建房审批标准确定。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小户（3人及以下）建筑占地面积不得超过100平方米，建筑面积不超过285平方米；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中户（4-5人）建筑占地面积不得超过120平方米，建筑面积不超过345平方米；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大户（6人及以上）建筑占地面积不得超过135平方米，建筑面积不超过390平方米。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9" w:firstLineChars="200"/>
        <w:textAlignment w:val="auto"/>
        <w:rPr>
          <w:rFonts w:hint="eastAsia" w:ascii="方正仿宋_GBK" w:hAnsi="方正仿宋_GBK" w:eastAsia="方正仿宋_GBK" w:cs="方正仿宋_GBK"/>
          <w:b/>
          <w:bCs/>
          <w:spacing w:val="-6"/>
          <w:sz w:val="32"/>
          <w:szCs w:val="32"/>
          <w:lang w:val="en-US" w:eastAsia="zh-CN"/>
        </w:rPr>
      </w:pPr>
      <w:r>
        <w:rPr>
          <w:rFonts w:hint="eastAsia" w:ascii="方正仿宋_GBK" w:hAnsi="方正仿宋_GBK" w:eastAsia="方正仿宋_GBK" w:cs="方正仿宋_GBK"/>
          <w:b/>
          <w:bCs/>
          <w:spacing w:val="-6"/>
          <w:sz w:val="32"/>
          <w:szCs w:val="32"/>
          <w:lang w:val="en-US" w:eastAsia="zh-CN"/>
        </w:rPr>
        <w:t>2.货币补偿安置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pacing w:val="-6"/>
          <w:sz w:val="32"/>
          <w:szCs w:val="32"/>
          <w:lang w:val="en-US" w:eastAsia="zh-CN"/>
        </w:rPr>
        <w:t>货币补偿安置是指征收实施单位提供补偿安置资金，被征收人自行解决安置住房。被征收人选择货币补偿安置的，按依法审批、认定的房屋合法面积给予货币补偿。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（二）安置地点</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b/>
          <w:bCs/>
          <w:sz w:val="32"/>
          <w:szCs w:val="32"/>
          <w:shd w:val="clear" w:color="auto" w:fill="auto"/>
          <w:lang w:val="en-US" w:eastAsia="zh-CN"/>
        </w:rPr>
        <w:t>自建</w:t>
      </w:r>
      <w:r>
        <w:rPr>
          <w:rFonts w:hint="eastAsia" w:ascii="方正仿宋_GBK" w:hAnsi="方正仿宋_GBK" w:eastAsia="方正仿宋_GBK" w:cs="方正仿宋_GBK"/>
          <w:b/>
          <w:bCs/>
          <w:sz w:val="32"/>
          <w:szCs w:val="32"/>
          <w:shd w:val="clear" w:color="auto" w:fill="auto"/>
        </w:rPr>
        <w:t>安置点：</w:t>
      </w:r>
      <w:r>
        <w:rPr>
          <w:rFonts w:hint="eastAsia" w:ascii="方正仿宋_GBK" w:hAnsi="方正仿宋_GBK" w:eastAsia="方正仿宋_GBK" w:cs="方正仿宋_GBK"/>
          <w:sz w:val="32"/>
          <w:szCs w:val="32"/>
          <w:shd w:val="clear" w:color="auto" w:fill="auto"/>
          <w:lang w:eastAsia="zh-CN"/>
        </w:rPr>
        <w:t>华墅乡</w:t>
      </w:r>
      <w:r>
        <w:rPr>
          <w:rFonts w:hint="eastAsia" w:ascii="方正仿宋_GBK" w:hAnsi="方正仿宋_GBK" w:eastAsia="方正仿宋_GBK" w:cs="方正仿宋_GBK"/>
          <w:sz w:val="32"/>
          <w:szCs w:val="32"/>
          <w:shd w:val="clear" w:color="auto" w:fill="auto"/>
        </w:rPr>
        <w:t>柴家安置点</w:t>
      </w:r>
      <w:r>
        <w:rPr>
          <w:rFonts w:hint="eastAsia" w:ascii="方正仿宋_GBK" w:hAnsi="方正仿宋_GBK" w:eastAsia="方正仿宋_GBK" w:cs="方正仿宋_GBK"/>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（三）安置户的认定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安置户的认定以相关产权证明和公安机关户籍资料为基础，同时符合农村宅基地管理中关于“户”的相关规定。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住宅房屋已取得《不动产权证书》《房屋所有权证》《土地使用权证》或已办理资源规划审批手续，以“三证两表”计户，一证为一户，同一房屋有多本证，仍按一户计。被征收人及其配偶，未成年子女有多处房屋，仍按一户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符合分户条件且已办理分户手续的被征收户，不动产权证或房屋所有权、土地使用权证未分立的，按家庭成员中的第一顺序继承人人均等分计算房屋占地及建筑面积，并实施相应补偿和安置。</w:t>
      </w:r>
      <w:r>
        <w:rPr>
          <w:rFonts w:hint="eastAsia" w:ascii="方正仿宋_GBK" w:hAnsi="方正仿宋_GBK" w:eastAsia="方正仿宋_GBK" w:cs="方正仿宋_GBK"/>
          <w:sz w:val="32"/>
          <w:szCs w:val="32"/>
          <w:lang w:val="en-US" w:eastAsia="zh-CN"/>
        </w:rPr>
        <w:t>父母原则上随一名本村集体经济组织成员子女安置。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（四）安置人口的认定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安置人口按被征收户在册农业人口数确定（“农业人口”是指本村集体经济组织成员）。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有下列情形之一的，可以增加1个安置人口数：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已领取《独生子女父母光荣证》的，或虽未办理《独生子女父母光荣证》，但实际只有一个子女的；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符合再生育条件且已领取准生证明的；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已婚尚未有子女且符合计划生育政策的。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上述政策不得重复享受。</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有下列情形之一的，可以列入安置人口：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原户口在本村的现役军人（不含现役军官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原户口在本村的在校大、中专学生和在读研究生；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世居在本村的招商户（即红、蓝印户口）、土地征收农转非人员，且不占国家机关、事业单位正式录用编制、未享受房改、政府保障性住房等政策的；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依法办理了收养登记的；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原户口在本村的正在服刑人员；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法律、法规规定的其他人员。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本村集体经济组织成员或本条所指的可列入安置人口的人员，其配偶及其22周岁以下子女为非农业户口，且未享受过房改、政府保障性用房（租住的除外）、集体土地上房屋征收安置等政策的可计入安置人口。</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有下列情形之一的，不列入安置人口：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挂靠在本村的外来人员；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国家机关、事业单位正式录用在编人员（含离退休人员和房屋征收公告发布后辞职、辞退人员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被征收人的父母或成年子女，在本村（社区）征收区域外另有农村宅基地房屋的；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已享受过集体土地上房屋征收公寓安置、“房票”安置等政策的人员；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已享受房改、政府保障性住房（租住的除外）等政策人员；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其他特殊人员。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集体土地上房屋征收公告发布后，自公告之日起至公告规定的签约期限内出生的人口应当作为安置人口，被征收人在签约前死亡的，不计入安置人口。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（五）被征收房屋合法面积认定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《房屋所有权证》《土地使用权证》或《不动产权证书》齐全的，以证载面积认定。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建房审批手续齐全，但未办理《房屋所有权证》和《土地使用权证》（《不动产权证书》）的，在审批范围内，结合房屋现状认定。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经批准改建、扩建、修建的，在审批范围内，结合房屋现状认定。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“三证两表”不全的，按以下规则认定：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①1987年1月1日《中华人民共和国土地管理法》实施前建造的，且至今未扩建翻建的，按房屋现状认定。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②已取得《土地使用权证》或已通过国土审批，但未办理规划审批手续的，建房时符合条件和“一户一宅”政策的，在可审批面积范围内，结合房屋现状认定。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③已取得《房屋所有权证》或已通过规划审批，但未办理国土审批手续的，建房时符合条件和“一户一宅”政策的，按规划审批面积，结合房屋现状认定。</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（六）结算办法</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eastAsia="zh-CN"/>
        </w:rPr>
      </w:pPr>
      <w:r>
        <w:rPr>
          <w:rFonts w:hint="eastAsia" w:ascii="方正仿宋_GBK" w:hAnsi="方正仿宋_GBK" w:eastAsia="方正仿宋_GBK" w:cs="方正仿宋_GBK"/>
          <w:sz w:val="32"/>
          <w:szCs w:val="32"/>
          <w:shd w:val="clear" w:color="auto" w:fill="auto"/>
          <w:lang w:val="en-US" w:eastAsia="zh-CN"/>
        </w:rPr>
        <w:t>被征收房屋价格按重置价格结合成新率确定，未建部分面积不计价值。</w:t>
      </w:r>
    </w:p>
    <w:p>
      <w:pPr>
        <w:keepNext w:val="0"/>
        <w:keepLines w:val="0"/>
        <w:pageBreakBefore w:val="0"/>
        <w:kinsoku/>
        <w:wordWrap/>
        <w:overflowPunct/>
        <w:topLinePunct w:val="0"/>
        <w:autoSpaceDE/>
        <w:autoSpaceDN/>
        <w:bidi w:val="0"/>
        <w:adjustRightInd/>
        <w:snapToGrid/>
        <w:spacing w:before="100" w:beforeAutospacing="1" w:line="600" w:lineRule="exact"/>
        <w:ind w:firstLine="643" w:firstLineChars="200"/>
        <w:contextualSpacing/>
        <w:textAlignment w:val="auto"/>
        <w:rPr>
          <w:rFonts w:hint="eastAsia" w:ascii="方正仿宋_GBK" w:hAnsi="方正仿宋_GBK" w:eastAsia="方正仿宋_GBK" w:cs="方正仿宋_GBK"/>
          <w:b/>
          <w:bCs/>
          <w:sz w:val="32"/>
          <w:szCs w:val="32"/>
          <w:shd w:val="clear" w:color="auto" w:fill="auto"/>
          <w:lang w:val="en-US" w:eastAsia="zh-CN"/>
        </w:rPr>
      </w:pPr>
      <w:r>
        <w:rPr>
          <w:rFonts w:hint="eastAsia" w:ascii="方正仿宋_GBK" w:hAnsi="方正仿宋_GBK" w:eastAsia="方正仿宋_GBK" w:cs="方正仿宋_GBK"/>
          <w:b/>
          <w:bCs/>
          <w:sz w:val="32"/>
          <w:szCs w:val="32"/>
          <w:shd w:val="clear" w:color="auto" w:fill="auto"/>
          <w:lang w:val="en-US" w:eastAsia="zh-CN"/>
        </w:rPr>
        <w:t>货币补偿安置</w:t>
      </w:r>
    </w:p>
    <w:p>
      <w:pPr>
        <w:keepNext w:val="0"/>
        <w:keepLines w:val="0"/>
        <w:pageBreakBefore w:val="0"/>
        <w:kinsoku/>
        <w:wordWrap/>
        <w:overflowPunct/>
        <w:topLinePunct w:val="0"/>
        <w:autoSpaceDE/>
        <w:autoSpaceDN/>
        <w:bidi w:val="0"/>
        <w:adjustRightInd/>
        <w:snapToGrid/>
        <w:spacing w:before="100" w:beforeAutospacing="1" w:line="600" w:lineRule="exact"/>
        <w:ind w:firstLine="640" w:firstLineChars="200"/>
        <w:contextualSpacing/>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lang w:val="en-US" w:eastAsia="zh-CN"/>
        </w:rPr>
        <w:t>按征收时重置成新价的3倍结算。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（七）其它补偿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被征收房屋的阁楼、架空层不作为安置依据，由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实施单位按重置价格给予补偿。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被征收人在征收红线范围内的附属仓库、牛棚、猪舍、室外厕所、门斗等不作为安置依据，由</w:t>
      </w:r>
      <w:r>
        <w:rPr>
          <w:rFonts w:hint="eastAsia" w:ascii="方正仿宋_GBK" w:hAnsi="方正仿宋_GBK" w:eastAsia="方正仿宋_GBK" w:cs="方正仿宋_GBK"/>
          <w:sz w:val="32"/>
          <w:szCs w:val="32"/>
          <w:lang w:val="en-US" w:eastAsia="zh-CN"/>
        </w:rPr>
        <w:t>征收</w:t>
      </w:r>
      <w:r>
        <w:rPr>
          <w:rFonts w:hint="eastAsia" w:ascii="方正仿宋_GBK" w:hAnsi="方正仿宋_GBK" w:eastAsia="方正仿宋_GBK" w:cs="方正仿宋_GBK"/>
          <w:sz w:val="32"/>
          <w:szCs w:val="32"/>
        </w:rPr>
        <w:t>实施单位给予相应补偿。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被征收房屋装修、其他附属物（构筑物）、临时建筑等补偿标准参照衢州市区国有土地上房屋征收补偿相关标准执行。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4.临时安置费。</w:t>
      </w:r>
      <w:r>
        <w:rPr>
          <w:rFonts w:hint="eastAsia" w:ascii="方正仿宋_GBK" w:hAnsi="方正仿宋_GBK" w:eastAsia="方正仿宋_GBK" w:cs="方正仿宋_GBK"/>
          <w:sz w:val="32"/>
          <w:szCs w:val="32"/>
        </w:rPr>
        <w:t>被征收人自行解决周转用房的，临时安置费标准按被征收房屋合法建筑面积10元/月·平方米计算，每月每户不足600元的，按600元计发。货币补偿安置和</w:t>
      </w:r>
      <w:r>
        <w:rPr>
          <w:rFonts w:hint="eastAsia" w:ascii="方正仿宋_GBK" w:hAnsi="方正仿宋_GBK" w:eastAsia="方正仿宋_GBK" w:cs="方正仿宋_GBK"/>
          <w:sz w:val="32"/>
          <w:szCs w:val="32"/>
          <w:lang w:val="en-US" w:eastAsia="zh-CN"/>
        </w:rPr>
        <w:t>自</w:t>
      </w:r>
      <w:r>
        <w:rPr>
          <w:rFonts w:hint="eastAsia" w:ascii="方正仿宋_GBK" w:hAnsi="方正仿宋_GBK" w:eastAsia="方正仿宋_GBK" w:cs="方正仿宋_GBK"/>
          <w:sz w:val="32"/>
          <w:szCs w:val="32"/>
        </w:rPr>
        <w:t>建安置的临时安置费按12个月支付。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搬迁费。按每户2000元/次支付。选择迁建安置的，被征收人从被征收房屋迁往周转房时应支付搬迁费，从周转房迁往安置房时应再次支付；被征收人选择货币补偿安置的，支付1次搬迁费。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征收集体土地非住宅房屋，原则上按征收时重置价格的2倍给予货币补偿。征收非住宅房屋涉及的临时周转费、搬迁费、停产停业损失、房屋签约和腾空等补助奖励标准参照衢州市区国有土地上房屋征收补偿相关标准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（八）奖励措施</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配合房屋征收调查、评估奖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被征收人在房屋征收调查、评估规定时间内积极配合房屋征收实施单位、房地产价格评估机构做好被征收房屋调查、评估工作，且在规定期限内签约的，按被征收房屋合法建筑面积给予100元/平方米奖励。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按期签约腾空奖励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时间内签订房屋征收补偿安置协议并腾空搬迁的（以验收可拆为准），给予一次性奖励。奖励标准按照房屋征收签约公告规定期限起始之日起至被征收人实际腾空搬迁之日分段计算。第一阶段内签约并搬迁腾空完毕的，按征收房屋合法建筑面积300元/平方米给予奖励；第二阶段内签约并搬迁腾空完毕的，按征收房屋合法建筑面积200元/平方米给予奖励；第</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阶段签约并搬迁腾空完毕的，按被征收房屋的合法建筑面积100元/平方米给予奖励。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整村完全签约奖励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在规定期限内，征收范围内（以行政村为单位）涉及的所有被征收人全部在规定时间内签订协议并交付拆除的，按被征收房屋的合法建筑面积再给予60元/平方米的奖励。</w:t>
      </w:r>
    </w:p>
    <w:p>
      <w:pPr>
        <w:keepNext w:val="0"/>
        <w:keepLines w:val="0"/>
        <w:pageBreakBefore w:val="0"/>
        <w:widowControl/>
        <w:kinsoku/>
        <w:wordWrap/>
        <w:overflowPunct/>
        <w:topLinePunct w:val="0"/>
        <w:autoSpaceDE/>
        <w:autoSpaceDN/>
        <w:bidi w:val="0"/>
        <w:adjustRightInd/>
        <w:snapToGrid/>
        <w:spacing w:line="600" w:lineRule="exact"/>
        <w:ind w:firstLine="643" w:firstLineChars="200"/>
        <w:contextualSpacing/>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被征收人在规定期限内签约，且按期腾空房屋交付拆除的，对下列建筑给予残值补助奖励：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经政府及相关职能部门处罚的房屋，房屋与处罚票据对应的，被处罚面积部分按重置价的60%给予奖励。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b w:val="0"/>
          <w:bCs w:val="0"/>
          <w:sz w:val="32"/>
          <w:szCs w:val="32"/>
        </w:rPr>
        <w:t>经</w:t>
      </w:r>
      <w:r>
        <w:rPr>
          <w:rFonts w:hint="eastAsia" w:ascii="方正仿宋_GBK" w:hAnsi="方正仿宋_GBK" w:eastAsia="方正仿宋_GBK" w:cs="方正仿宋_GBK"/>
          <w:b w:val="0"/>
          <w:bCs w:val="0"/>
          <w:sz w:val="32"/>
          <w:szCs w:val="32"/>
          <w:lang w:val="en-US" w:eastAsia="zh-CN"/>
        </w:rPr>
        <w:t>土地行政管理等职能部门</w:t>
      </w:r>
      <w:r>
        <w:rPr>
          <w:rFonts w:hint="eastAsia" w:ascii="方正仿宋_GBK" w:hAnsi="方正仿宋_GBK" w:eastAsia="方正仿宋_GBK" w:cs="方正仿宋_GBK"/>
          <w:sz w:val="32"/>
          <w:szCs w:val="32"/>
        </w:rPr>
        <w:t>处罚没收后，农户折价回购的房屋，折价回购面积按重置价补偿。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其它房屋残值补助奖励：砖混结构200元/平方米，砖木结构按150元/平方米。在规定的第一个签约阶段签约的，再增加砖混结构150元/平方米，砖木结构150元/平方米的奖励。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val="0"/>
          <w:bCs w:val="0"/>
          <w:sz w:val="32"/>
          <w:szCs w:val="32"/>
        </w:rPr>
      </w:pPr>
      <w:bookmarkStart w:id="0" w:name="_GoBack"/>
      <w:r>
        <w:rPr>
          <w:rFonts w:hint="eastAsia" w:ascii="方正仿宋_GBK" w:hAnsi="方正仿宋_GBK" w:eastAsia="方正仿宋_GBK" w:cs="方正仿宋_GBK"/>
          <w:b w:val="0"/>
          <w:bCs w:val="0"/>
          <w:sz w:val="32"/>
          <w:szCs w:val="32"/>
        </w:rPr>
        <w:t>未在规定期限内签约、腾空的，取消相应奖励政策。</w:t>
      </w:r>
    </w:p>
    <w:bookmarkEnd w:id="0"/>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五、补偿决定</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b/>
          <w:bCs/>
          <w:sz w:val="32"/>
          <w:szCs w:val="32"/>
          <w:shd w:val="clear" w:color="auto" w:fill="auto"/>
        </w:rPr>
      </w:pPr>
      <w:r>
        <w:rPr>
          <w:rFonts w:hint="eastAsia" w:ascii="方正仿宋_GBK" w:hAnsi="方正仿宋_GBK" w:eastAsia="方正仿宋_GBK" w:cs="方正仿宋_GBK"/>
          <w:sz w:val="32"/>
          <w:szCs w:val="32"/>
          <w:shd w:val="clear" w:color="auto" w:fill="auto"/>
          <w:lang w:val="en-US" w:eastAsia="zh-CN"/>
        </w:rPr>
        <w:t>实施单位与被征收人在征收签约期限内未达成补偿安置协议的，由征收部门依法作出补偿决定。被征收人对补偿决定不服的，可以依法申请行政复议，也可以依法提起行政诉讼。</w:t>
      </w:r>
    </w:p>
    <w:p>
      <w:pPr>
        <w:keepNext w:val="0"/>
        <w:keepLines w:val="0"/>
        <w:pageBreakBefore w:val="0"/>
        <w:kinsoku/>
        <w:wordWrap/>
        <w:overflowPunct/>
        <w:topLinePunct w:val="0"/>
        <w:autoSpaceDE/>
        <w:autoSpaceDN/>
        <w:bidi w:val="0"/>
        <w:adjustRightInd/>
        <w:snapToGrid/>
        <w:spacing w:line="600" w:lineRule="exact"/>
        <w:ind w:firstLine="640" w:firstLineChars="200"/>
        <w:contextualSpacing/>
        <w:textAlignment w:val="auto"/>
        <w:rPr>
          <w:rFonts w:hint="eastAsia" w:ascii="方正黑体_GBK" w:hAnsi="方正黑体_GBK" w:eastAsia="方正黑体_GBK" w:cs="方正黑体_GBK"/>
          <w:b w:val="0"/>
          <w:bCs w:val="0"/>
          <w:sz w:val="32"/>
          <w:szCs w:val="32"/>
          <w:shd w:val="clear" w:color="auto" w:fill="auto"/>
          <w:lang w:val="en-US" w:eastAsia="zh-CN"/>
        </w:rPr>
      </w:pPr>
      <w:r>
        <w:rPr>
          <w:rFonts w:hint="eastAsia" w:ascii="方正黑体_GBK" w:hAnsi="方正黑体_GBK" w:eastAsia="方正黑体_GBK" w:cs="方正黑体_GBK"/>
          <w:b w:val="0"/>
          <w:bCs w:val="0"/>
          <w:sz w:val="32"/>
          <w:szCs w:val="32"/>
          <w:shd w:val="clear" w:color="auto" w:fill="auto"/>
          <w:lang w:val="en-US" w:eastAsia="zh-CN"/>
        </w:rPr>
        <w:t>六、其他事项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本</w:t>
      </w:r>
      <w:r>
        <w:rPr>
          <w:rFonts w:hint="eastAsia" w:ascii="方正仿宋_GBK" w:hAnsi="方正仿宋_GBK" w:eastAsia="方正仿宋_GBK" w:cs="方正仿宋_GBK"/>
          <w:color w:val="000000"/>
          <w:sz w:val="32"/>
          <w:szCs w:val="32"/>
        </w:rPr>
        <w:t>方案由</w:t>
      </w:r>
      <w:r>
        <w:rPr>
          <w:rFonts w:hint="eastAsia" w:ascii="方正仿宋_GBK" w:hAnsi="方正仿宋_GBK" w:eastAsia="方正仿宋_GBK" w:cs="方正仿宋_GBK"/>
          <w:color w:val="000000"/>
          <w:sz w:val="32"/>
          <w:szCs w:val="32"/>
          <w:lang w:val="en-US" w:eastAsia="zh-CN"/>
        </w:rPr>
        <w:t>衢州市自然资源和规划局柯城分局</w:t>
      </w:r>
      <w:r>
        <w:rPr>
          <w:rFonts w:hint="eastAsia" w:ascii="方正仿宋_GBK" w:hAnsi="方正仿宋_GBK" w:eastAsia="方正仿宋_GBK" w:cs="方正仿宋_GBK"/>
          <w:color w:val="000000"/>
          <w:sz w:val="32"/>
          <w:szCs w:val="32"/>
        </w:rPr>
        <w:t>负责解释。</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footerReference r:id="rId5" w:type="even"/>
      <w:pgSz w:w="16840" w:h="23814"/>
      <w:pgMar w:top="1440" w:right="1701" w:bottom="1440" w:left="1701" w:header="47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embedRegular r:id="rId1" w:fontKey="{4292BA10-2C93-41B5-A866-60D5450D6169}"/>
  </w:font>
  <w:font w:name="楷体">
    <w:panose1 w:val="02010609060101010101"/>
    <w:charset w:val="86"/>
    <w:family w:val="modern"/>
    <w:pitch w:val="default"/>
    <w:sig w:usb0="00000000" w:usb1="00000000" w:usb2="00000000" w:usb3="00000000" w:csb0="00000000" w:csb1="00000000"/>
    <w:embedRegular r:id="rId2" w:fontKey="{D58B0547-FA87-4037-83A4-697762430DEB}"/>
  </w:font>
  <w:font w:name="方正仿宋_GBK">
    <w:panose1 w:val="03000509000000000000"/>
    <w:charset w:val="86"/>
    <w:family w:val="auto"/>
    <w:pitch w:val="default"/>
    <w:sig w:usb0="00000001" w:usb1="080E0000" w:usb2="00000000" w:usb3="00000000" w:csb0="00040000" w:csb1="00000000"/>
    <w:embedRegular r:id="rId3" w:fontKey="{67296B3F-482C-432E-ACE4-5C2D7DECC5BC}"/>
  </w:font>
  <w:font w:name="方正黑体_GBK">
    <w:panose1 w:val="03000509000000000000"/>
    <w:charset w:val="86"/>
    <w:family w:val="auto"/>
    <w:pitch w:val="default"/>
    <w:sig w:usb0="00000001" w:usb1="080E0000" w:usb2="00000000" w:usb3="00000000" w:csb0="00040000" w:csb1="00000000"/>
    <w:embedRegular r:id="rId4" w:fontKey="{ED7B9949-1979-4621-83FE-9B6CC4D9A061}"/>
  </w:font>
  <w:font w:name="方正楷体_GBK">
    <w:panose1 w:val="03000509000000000000"/>
    <w:charset w:val="86"/>
    <w:family w:val="auto"/>
    <w:pitch w:val="default"/>
    <w:sig w:usb0="00000001" w:usb1="080E0000" w:usb2="00000000" w:usb3="00000000" w:csb0="00040000" w:csb1="00000000"/>
    <w:embedRegular r:id="rId5" w:fontKey="{94B9851C-484A-4CD1-9C54-92627A13CB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E16DF"/>
    <w:rsid w:val="005053C5"/>
    <w:rsid w:val="016C62BB"/>
    <w:rsid w:val="022D3226"/>
    <w:rsid w:val="080A2055"/>
    <w:rsid w:val="0AF622B2"/>
    <w:rsid w:val="0F364C7C"/>
    <w:rsid w:val="10D852E7"/>
    <w:rsid w:val="13B364E6"/>
    <w:rsid w:val="181C3453"/>
    <w:rsid w:val="1AFD4F0C"/>
    <w:rsid w:val="1B6D0088"/>
    <w:rsid w:val="1C1801B8"/>
    <w:rsid w:val="20711A1F"/>
    <w:rsid w:val="23A24229"/>
    <w:rsid w:val="24F12167"/>
    <w:rsid w:val="272523C4"/>
    <w:rsid w:val="282E16DF"/>
    <w:rsid w:val="2D854143"/>
    <w:rsid w:val="2DBC1DCD"/>
    <w:rsid w:val="2F6851D1"/>
    <w:rsid w:val="30872BF2"/>
    <w:rsid w:val="312D2E60"/>
    <w:rsid w:val="3322715D"/>
    <w:rsid w:val="3364690B"/>
    <w:rsid w:val="36FC5745"/>
    <w:rsid w:val="371C3253"/>
    <w:rsid w:val="37A07FF6"/>
    <w:rsid w:val="39BF64C7"/>
    <w:rsid w:val="3AE71DD3"/>
    <w:rsid w:val="3E68351B"/>
    <w:rsid w:val="3EA5213C"/>
    <w:rsid w:val="3F975001"/>
    <w:rsid w:val="3FD16793"/>
    <w:rsid w:val="419D3BB9"/>
    <w:rsid w:val="45F95F41"/>
    <w:rsid w:val="466C2435"/>
    <w:rsid w:val="475044F0"/>
    <w:rsid w:val="49414659"/>
    <w:rsid w:val="4AE06B2F"/>
    <w:rsid w:val="4BE26770"/>
    <w:rsid w:val="4C5C79EC"/>
    <w:rsid w:val="4D734EE8"/>
    <w:rsid w:val="4DC0686A"/>
    <w:rsid w:val="548C6A04"/>
    <w:rsid w:val="5ACB6E2E"/>
    <w:rsid w:val="5B617ADD"/>
    <w:rsid w:val="5CE35F16"/>
    <w:rsid w:val="61526196"/>
    <w:rsid w:val="649D078A"/>
    <w:rsid w:val="654D5DA4"/>
    <w:rsid w:val="68401C66"/>
    <w:rsid w:val="6D5F0D45"/>
    <w:rsid w:val="6F2875F4"/>
    <w:rsid w:val="6F2F4192"/>
    <w:rsid w:val="6FBB23FB"/>
    <w:rsid w:val="73232F06"/>
    <w:rsid w:val="75D4328A"/>
    <w:rsid w:val="76B75A2E"/>
    <w:rsid w:val="788349E3"/>
    <w:rsid w:val="796D45B3"/>
    <w:rsid w:val="7E7B3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2020-04-24T01:36:00Z</dcterms:created>
  <dc:creator>hhz</dc:creator>
  <cp:lastModifiedBy>曹昱</cp:lastModifiedBy>
  <cp:lastPrinted>2020-06-22T04:03:27Z</cp:lastPrinted>
  <dcterms:modified xsi:type="dcterms:W3CDTF">2020-06-22T04:24:32Z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