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0" w:firstLineChars="100"/>
        <w:jc w:val="both"/>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衢州市柯城区放宽企业住所（经营场所）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登记条件实施细则（</w:t>
      </w:r>
      <w:r>
        <w:rPr>
          <w:rFonts w:hint="eastAsia" w:ascii="方正小标宋简体" w:hAnsi="方正小标宋简体" w:eastAsia="方正小标宋简体" w:cs="方正小标宋简体"/>
          <w:b w:val="0"/>
          <w:bCs/>
          <w:i w:val="0"/>
          <w:caps w:val="0"/>
          <w:color w:val="333333"/>
          <w:spacing w:val="0"/>
          <w:sz w:val="44"/>
          <w:szCs w:val="44"/>
          <w:shd w:val="clear" w:fill="FFFFFF"/>
          <w:lang w:eastAsia="zh-CN"/>
        </w:rPr>
        <w:t>征求意见稿</w:t>
      </w:r>
      <w:r>
        <w:rPr>
          <w:rFonts w:hint="eastAsia" w:ascii="方正小标宋简体" w:hAnsi="方正小标宋简体" w:eastAsia="方正小标宋简体" w:cs="方正小标宋简体"/>
          <w:b w:val="0"/>
          <w:bCs/>
          <w:i w:val="0"/>
          <w:caps w:val="0"/>
          <w:color w:val="333333"/>
          <w:spacing w:val="0"/>
          <w:sz w:val="44"/>
          <w:szCs w:val="44"/>
          <w:shd w:val="clear" w:fill="FFFFFF"/>
        </w:rPr>
        <w:t>）</w:t>
      </w:r>
    </w:p>
    <w:p>
      <w:pPr>
        <w:rPr>
          <w:rFonts w:hint="eastAsia" w:ascii="仿宋_GB2312" w:hAnsi="微软雅黑" w:eastAsia="仿宋_GB2312" w:cs="仿宋_GB2312"/>
          <w:b w:val="0"/>
          <w:i w:val="0"/>
          <w:caps w:val="0"/>
          <w:color w:val="333333"/>
          <w:spacing w:val="0"/>
          <w:sz w:val="31"/>
          <w:szCs w:val="31"/>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rPr>
          <w:rFonts w:ascii="微软雅黑" w:hAnsi="微软雅黑" w:eastAsia="微软雅黑" w:cs="微软雅黑"/>
          <w:b w:val="0"/>
          <w:i w:val="0"/>
          <w:caps w:val="0"/>
          <w:color w:val="333333"/>
          <w:spacing w:val="0"/>
          <w:sz w:val="27"/>
          <w:szCs w:val="27"/>
        </w:rPr>
      </w:pPr>
      <w:r>
        <w:rPr>
          <w:rFonts w:ascii="黑体" w:hAnsi="宋体" w:eastAsia="黑体" w:cs="黑体"/>
          <w:b w:val="0"/>
          <w:i w:val="0"/>
          <w:caps w:val="0"/>
          <w:color w:val="333333"/>
          <w:spacing w:val="0"/>
          <w:sz w:val="31"/>
          <w:szCs w:val="31"/>
          <w:shd w:val="clear" w:fill="FFFFFF"/>
        </w:rPr>
        <w:t>第一条</w:t>
      </w:r>
      <w:r>
        <w:rPr>
          <w:rFonts w:ascii="仿宋_GB2312" w:hAnsi="微软雅黑" w:eastAsia="仿宋_GB2312" w:cs="仿宋_GB2312"/>
          <w:b w:val="0"/>
          <w:i w:val="0"/>
          <w:caps w:val="0"/>
          <w:color w:val="333333"/>
          <w:spacing w:val="0"/>
          <w:sz w:val="31"/>
          <w:szCs w:val="31"/>
          <w:shd w:val="clear" w:fill="FFFFFF"/>
        </w:rPr>
        <w:t> </w:t>
      </w:r>
      <w:r>
        <w:rPr>
          <w:rFonts w:hint="eastAsia" w:ascii="仿宋_GB2312" w:hAnsi="微软雅黑" w:eastAsia="仿宋_GB2312" w:cs="仿宋_GB2312"/>
          <w:b w:val="0"/>
          <w:i w:val="0"/>
          <w:caps w:val="0"/>
          <w:color w:val="333333"/>
          <w:spacing w:val="0"/>
          <w:sz w:val="31"/>
          <w:szCs w:val="31"/>
          <w:shd w:val="clear" w:fill="FFFFFF"/>
        </w:rPr>
        <w:t> 为激发市场活力，加大“最多跑一次”改革力度，根据《国务院关于印发注册资本登记制度改革方案的通知》（国发〔2014〕7号）、《浙江省放宽企业住所（经营场所）登记条件的规定》（浙政办发〔2014〕83号）的要求，特制定本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rPr>
          <w:rFonts w:hint="eastAsia" w:ascii="微软雅黑" w:hAnsi="微软雅黑" w:eastAsia="微软雅黑" w:cs="微软雅黑"/>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rPr>
        <w:t>第二条</w:t>
      </w:r>
      <w:r>
        <w:rPr>
          <w:rFonts w:hint="eastAsia" w:ascii="仿宋_GB2312" w:hAnsi="微软雅黑" w:eastAsia="仿宋_GB2312" w:cs="仿宋_GB2312"/>
          <w:b w:val="0"/>
          <w:i w:val="0"/>
          <w:caps w:val="0"/>
          <w:color w:val="333333"/>
          <w:spacing w:val="0"/>
          <w:sz w:val="31"/>
          <w:szCs w:val="31"/>
          <w:shd w:val="clear" w:fill="FFFFFF"/>
        </w:rPr>
        <w:t>  本细则所称住所（经营场所）指营业执照上记载的住所、经营场所、主要经营场所或营业场所等事项，是企业的主要办事机构所在地，为法律文书送达地址和确定司法、行政地域管辖的依据；所称生产经营场所是指企业实际从事生产经营活动的场所；所称企业是指在本区范围内注册登记的公司、非公司企业法人、合伙企业、个人独资企业及各类分支机构。农民专业合作社及分支机构、个体工商户住所（经营场所）登记参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rPr>
          <w:rFonts w:hint="eastAsia" w:ascii="微软雅黑" w:hAnsi="微软雅黑" w:eastAsia="微软雅黑" w:cs="微软雅黑"/>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rPr>
        <w:t>第三条</w:t>
      </w:r>
      <w:r>
        <w:rPr>
          <w:rFonts w:hint="eastAsia" w:ascii="仿宋_GB2312" w:hAnsi="微软雅黑" w:eastAsia="仿宋_GB2312" w:cs="仿宋_GB2312"/>
          <w:b w:val="0"/>
          <w:i w:val="0"/>
          <w:caps w:val="0"/>
          <w:color w:val="333333"/>
          <w:spacing w:val="0"/>
          <w:sz w:val="31"/>
          <w:szCs w:val="31"/>
          <w:shd w:val="clear" w:fill="FFFFFF"/>
        </w:rPr>
        <w:t>  放宽企业住所（经营场所）登记条件要遵循合法规范、便捷高效、宽进严管的原则。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微软雅黑" w:hAnsi="微软雅黑" w:eastAsia="微软雅黑" w:cs="微软雅黑"/>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rPr>
        <w:t>第四条 </w:t>
      </w:r>
      <w:r>
        <w:rPr>
          <w:rFonts w:hint="eastAsia" w:ascii="仿宋_GB2312" w:hAnsi="微软雅黑" w:eastAsia="仿宋_GB2312" w:cs="仿宋_GB2312"/>
          <w:b w:val="0"/>
          <w:i w:val="0"/>
          <w:caps w:val="0"/>
          <w:color w:val="333333"/>
          <w:spacing w:val="0"/>
          <w:sz w:val="31"/>
          <w:szCs w:val="31"/>
          <w:shd w:val="clear" w:fill="FFFFFF"/>
        </w:rPr>
        <w:t>企业住所（经营场所）应当经市场监管部门登记，变更住所（经营场所）的，应当在迁入新住所（经营场所）前依法申请变更登记。住所（经营场所）登记，不具有确认房产权属、认定房屋使用属性或作为征收补偿依据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15"/>
        <w:jc w:val="both"/>
        <w:textAlignment w:val="auto"/>
        <w:rPr>
          <w:rFonts w:hint="eastAsia" w:ascii="微软雅黑" w:hAnsi="微软雅黑" w:eastAsia="微软雅黑" w:cs="微软雅黑"/>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rPr>
        <w:t>第五条</w:t>
      </w:r>
      <w:r>
        <w:rPr>
          <w:rFonts w:hint="eastAsia" w:ascii="仿宋_GB2312" w:hAnsi="微软雅黑" w:eastAsia="仿宋_GB2312" w:cs="仿宋_GB2312"/>
          <w:b w:val="0"/>
          <w:i w:val="0"/>
          <w:caps w:val="0"/>
          <w:color w:val="333333"/>
          <w:spacing w:val="0"/>
          <w:sz w:val="31"/>
          <w:szCs w:val="31"/>
          <w:shd w:val="clear" w:fill="FFFFFF"/>
        </w:rPr>
        <w:t> 企业住所（经营场所）的地址应详细填报。申请人无法填报住所（经营场所）详细地址的，应当确保地址信息的真实有效。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15"/>
        <w:jc w:val="both"/>
        <w:textAlignment w:val="auto"/>
        <w:rPr>
          <w:rFonts w:hint="eastAsia" w:ascii="微软雅黑" w:hAnsi="微软雅黑" w:eastAsia="微软雅黑" w:cs="微软雅黑"/>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rPr>
        <w:t>第六条</w:t>
      </w:r>
      <w:r>
        <w:rPr>
          <w:rFonts w:hint="eastAsia" w:ascii="仿宋_GB2312" w:hAnsi="微软雅黑" w:eastAsia="仿宋_GB2312" w:cs="仿宋_GB2312"/>
          <w:b w:val="0"/>
          <w:i w:val="0"/>
          <w:caps w:val="0"/>
          <w:color w:val="333333"/>
          <w:spacing w:val="0"/>
          <w:sz w:val="31"/>
          <w:szCs w:val="31"/>
          <w:shd w:val="clear" w:fill="FFFFFF"/>
        </w:rPr>
        <w:t> 企业应当使用真实、合法、安全的固定场所作为住所（经营场所），并对住所（经营场所）的真实性、合法性、安全性负责。申请人应当对申报住所（经营场所）及其信息的真实性和有效性负责。市场监管部门对登记环节中的申请材料实行形式审查，不审查住所（经营场所）的法定用途及使用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jc w:val="both"/>
        <w:textAlignment w:val="auto"/>
        <w:rPr>
          <w:rFonts w:hint="eastAsia" w:ascii="微软雅黑" w:hAnsi="微软雅黑" w:eastAsia="微软雅黑" w:cs="微软雅黑"/>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rPr>
        <w:t>第七条</w:t>
      </w:r>
      <w:r>
        <w:rPr>
          <w:rFonts w:hint="eastAsia" w:ascii="仿宋_GB2312" w:hAnsi="微软雅黑" w:eastAsia="仿宋_GB2312" w:cs="仿宋_GB2312"/>
          <w:b w:val="0"/>
          <w:i w:val="0"/>
          <w:caps w:val="0"/>
          <w:color w:val="333333"/>
          <w:spacing w:val="0"/>
          <w:sz w:val="31"/>
          <w:szCs w:val="31"/>
          <w:shd w:val="clear" w:fill="FFFFFF"/>
        </w:rPr>
        <w:t> 推行“一址多照”，放宽对电子商务、股权投资、软件设计、文化创意、创客空间、众创空间等现代服务产业住所（经营场所）登记要求，在符合多个企业共同日常办公的合理需求的情况下，同一地址可以作为2个以上企业的住所（经营场所）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微软雅黑" w:hAnsi="微软雅黑" w:eastAsia="微软雅黑" w:cs="微软雅黑"/>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rPr>
        <w:t>第八条</w:t>
      </w:r>
      <w:r>
        <w:rPr>
          <w:rFonts w:hint="eastAsia" w:ascii="仿宋_GB2312" w:hAnsi="微软雅黑" w:eastAsia="仿宋_GB2312" w:cs="仿宋_GB2312"/>
          <w:b w:val="0"/>
          <w:i w:val="0"/>
          <w:caps w:val="0"/>
          <w:color w:val="333333"/>
          <w:spacing w:val="0"/>
          <w:sz w:val="31"/>
          <w:szCs w:val="31"/>
          <w:shd w:val="clear" w:fill="FFFFFF"/>
        </w:rPr>
        <w:t> 推行“一照多址”，对无需前置审批的企业在本区范围内增设经营场所的，可以选择分支机构登记，也可以申请将经营场所登记于上一级企业营业执照上，无需另行申请分支机构登记。对需要前置审批的企业申请办理“一照多址”，如许可证件上已记载生产经营场所的，可参照办理。个体工商户登记不适用本条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15"/>
        <w:jc w:val="both"/>
        <w:textAlignment w:val="auto"/>
        <w:rPr>
          <w:rFonts w:hint="default" w:ascii="Times New Roman" w:hAnsi="Times New Roman" w:cs="Times New Roman"/>
          <w:b/>
          <w:i w:val="0"/>
          <w:caps w:val="0"/>
          <w:color w:val="333333"/>
          <w:spacing w:val="0"/>
          <w:sz w:val="43"/>
          <w:szCs w:val="43"/>
        </w:rPr>
      </w:pPr>
      <w:r>
        <w:rPr>
          <w:rFonts w:hint="eastAsia" w:ascii="黑体" w:hAnsi="宋体" w:eastAsia="黑体" w:cs="黑体"/>
          <w:b w:val="0"/>
          <w:i w:val="0"/>
          <w:caps w:val="0"/>
          <w:color w:val="333333"/>
          <w:spacing w:val="0"/>
          <w:sz w:val="31"/>
          <w:szCs w:val="31"/>
          <w:shd w:val="clear" w:fill="FFFFFF"/>
        </w:rPr>
        <w:t>第九条</w:t>
      </w:r>
      <w:r>
        <w:rPr>
          <w:rFonts w:hint="eastAsia" w:ascii="仿宋_GB2312" w:hAnsi="Times New Roman" w:eastAsia="仿宋_GB2312" w:cs="仿宋_GB2312"/>
          <w:b w:val="0"/>
          <w:i w:val="0"/>
          <w:caps w:val="0"/>
          <w:color w:val="333333"/>
          <w:spacing w:val="0"/>
          <w:sz w:val="31"/>
          <w:szCs w:val="31"/>
          <w:shd w:val="clear" w:fill="FFFFFF"/>
        </w:rPr>
        <w:t> 申请人以非封闭式小区内住宅（包括辅房、架空层、车库）从事电子商务（平台服务提供商除外）、计算机数据处理、软件和信息服务、网络技术、文化创意、动漫游戏开发、翻译服务、工业设计、股权投资、创客空间、众创空间、便利店等无污染、不扰民、便民的行业，或者仅作为企业通讯联络功能使用的，允许作为住所（经营场所）登记。申请人应当遵守《中华人民共和国民法总则》、《民法通则》、《物权法》、《浙江省物业管理条例》等规定，遵守公序良俗，承诺主动消除不良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15"/>
        <w:jc w:val="both"/>
        <w:textAlignment w:val="auto"/>
        <w:rPr>
          <w:rFonts w:hint="default" w:ascii="Times New Roman" w:hAnsi="Times New Roman" w:cs="Times New Roman"/>
          <w:b/>
          <w:i w:val="0"/>
          <w:caps w:val="0"/>
          <w:color w:val="333333"/>
          <w:spacing w:val="0"/>
          <w:sz w:val="43"/>
          <w:szCs w:val="43"/>
        </w:rPr>
      </w:pPr>
      <w:r>
        <w:rPr>
          <w:rFonts w:hint="eastAsia" w:ascii="仿宋_GB2312" w:hAnsi="Times New Roman" w:eastAsia="仿宋_GB2312" w:cs="仿宋_GB2312"/>
          <w:b w:val="0"/>
          <w:i w:val="0"/>
          <w:caps w:val="0"/>
          <w:color w:val="333333"/>
          <w:spacing w:val="0"/>
          <w:sz w:val="31"/>
          <w:szCs w:val="31"/>
          <w:shd w:val="clear" w:fill="FFFFFF"/>
        </w:rPr>
        <w:t>工业用地改变土地使用用途,须经国土部门审批并仅可以作为信息服务、研发设计、创意产业等现代服务业以及旅游、物品储运、农产品销售运营等可以临时改变土地使用用途行业的住所(经营场所)。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15"/>
        <w:jc w:val="both"/>
        <w:textAlignment w:val="auto"/>
        <w:rPr>
          <w:rFonts w:hint="default" w:ascii="Times New Roman" w:hAnsi="Times New Roman" w:cs="Times New Roman"/>
          <w:b/>
          <w:i w:val="0"/>
          <w:caps w:val="0"/>
          <w:color w:val="333333"/>
          <w:spacing w:val="0"/>
          <w:sz w:val="43"/>
          <w:szCs w:val="43"/>
        </w:rPr>
      </w:pPr>
      <w:r>
        <w:rPr>
          <w:rFonts w:hint="eastAsia" w:ascii="仿宋_GB2312" w:hAnsi="Times New Roman" w:eastAsia="仿宋_GB2312" w:cs="仿宋_GB2312"/>
          <w:b w:val="0"/>
          <w:i w:val="0"/>
          <w:caps w:val="0"/>
          <w:color w:val="333333"/>
          <w:spacing w:val="0"/>
          <w:sz w:val="31"/>
          <w:szCs w:val="31"/>
          <w:shd w:val="clear" w:fill="FFFFFF"/>
        </w:rPr>
        <w:t>城中村、农村等非环境敏感区域的住宅，可以参照经营性用途进</w:t>
      </w:r>
      <w:r>
        <w:rPr>
          <w:rFonts w:hint="eastAsia" w:ascii="仿宋_GB2312" w:hAnsi="Times New Roman" w:eastAsia="仿宋_GB2312" w:cs="仿宋_GB2312"/>
          <w:b w:val="0"/>
          <w:i w:val="0"/>
          <w:caps w:val="0"/>
          <w:color w:val="333333"/>
          <w:spacing w:val="-15"/>
          <w:sz w:val="31"/>
          <w:szCs w:val="31"/>
          <w:shd w:val="clear" w:fill="FFFFFF"/>
        </w:rPr>
        <w:t>行注册登记。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微软雅黑" w:hAnsi="微软雅黑" w:eastAsia="微软雅黑" w:cs="微软雅黑"/>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rPr>
        <w:t>第十条</w:t>
      </w:r>
      <w:r>
        <w:rPr>
          <w:rFonts w:hint="eastAsia" w:ascii="仿宋_GB2312" w:hAnsi="微软雅黑" w:eastAsia="仿宋_GB2312" w:cs="仿宋_GB2312"/>
          <w:b w:val="0"/>
          <w:i w:val="0"/>
          <w:caps w:val="0"/>
          <w:color w:val="333333"/>
          <w:spacing w:val="0"/>
          <w:sz w:val="31"/>
          <w:szCs w:val="31"/>
          <w:shd w:val="clear" w:fill="FFFFFF"/>
        </w:rPr>
        <w:t> 利用负面清单管理，分类实施住所（经营场所）登记申报承诺制。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0"/>
          <w:sz w:val="31"/>
          <w:szCs w:val="31"/>
          <w:shd w:val="clear" w:fill="FFFFFF"/>
        </w:rPr>
        <w:t>负面清单外的，申请人只需提交载明住所（经营场所）相关信息和承诺的住所（经营场所）信息表（信息表见附件），不再需要提交权属证明和租赁协议等场所证明材料。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0"/>
          <w:sz w:val="31"/>
          <w:szCs w:val="31"/>
          <w:shd w:val="clear" w:fill="FFFFFF"/>
        </w:rPr>
        <w:t>实行负面清单管理的行业和区块及场所证明材料提交要求详见附件。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0"/>
          <w:sz w:val="31"/>
          <w:szCs w:val="31"/>
          <w:shd w:val="clear" w:fill="FFFFFF"/>
        </w:rPr>
        <w:t>负面清单由区政府制定、发布，并根据工作需要动态调整。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00"/>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15"/>
          <w:sz w:val="31"/>
          <w:szCs w:val="31"/>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15"/>
        <w:jc w:val="both"/>
        <w:textAlignment w:val="auto"/>
        <w:rPr>
          <w:rFonts w:hint="eastAsia" w:ascii="微软雅黑" w:hAnsi="微软雅黑" w:eastAsia="微软雅黑" w:cs="微软雅黑"/>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rPr>
        <w:t>第十一条</w:t>
      </w:r>
      <w:r>
        <w:rPr>
          <w:rFonts w:hint="eastAsia" w:ascii="仿宋_GB2312" w:hAnsi="微软雅黑" w:eastAsia="仿宋_GB2312" w:cs="仿宋_GB2312"/>
          <w:b w:val="0"/>
          <w:i w:val="0"/>
          <w:caps w:val="0"/>
          <w:color w:val="333333"/>
          <w:spacing w:val="0"/>
          <w:sz w:val="31"/>
          <w:szCs w:val="31"/>
          <w:shd w:val="clear" w:fill="FFFFFF"/>
        </w:rPr>
        <w:t> 企业住所（经营场所）所在建筑物应当符合国家关于建筑安全、安全生产以及国家安全等要求，申请人不得以下列场所申报住所（经营场所）登记：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30"/>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0"/>
          <w:sz w:val="31"/>
          <w:szCs w:val="31"/>
          <w:shd w:val="clear" w:fill="FFFFFF"/>
        </w:rPr>
        <w:t>（一）违法建筑；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30"/>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0"/>
          <w:sz w:val="31"/>
          <w:szCs w:val="31"/>
          <w:shd w:val="clear" w:fill="FFFFFF"/>
        </w:rPr>
        <w:t>（二）经鉴定的危房；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30"/>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0"/>
          <w:sz w:val="31"/>
          <w:szCs w:val="31"/>
          <w:shd w:val="clear" w:fill="FFFFFF"/>
        </w:rPr>
        <w:t>（三）征收、拆迁的房屋；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30"/>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0"/>
          <w:sz w:val="31"/>
          <w:szCs w:val="31"/>
          <w:shd w:val="clear" w:fill="FFFFFF"/>
        </w:rPr>
        <w:t>（四）非规划为经营性用途的地下空间；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30"/>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0"/>
          <w:sz w:val="31"/>
          <w:szCs w:val="31"/>
          <w:shd w:val="clear" w:fill="FFFFFF"/>
        </w:rPr>
        <w:t>（五）不符合文明城市创建要求的封闭式小区内；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30"/>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0"/>
          <w:sz w:val="31"/>
          <w:szCs w:val="31"/>
          <w:shd w:val="clear" w:fill="FFFFFF"/>
        </w:rPr>
        <w:t>（六）军队、武警等单位所有、属于专项管理的房屋；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30"/>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0"/>
          <w:sz w:val="31"/>
          <w:szCs w:val="31"/>
          <w:shd w:val="clear" w:fill="FFFFFF"/>
        </w:rPr>
        <w:t>（七）其他不适宜作为市场主体住所（经营场所）登记的建筑物。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30"/>
        <w:jc w:val="both"/>
        <w:textAlignment w:val="auto"/>
        <w:rPr>
          <w:rFonts w:hint="eastAsia" w:ascii="微软雅黑" w:hAnsi="微软雅黑" w:eastAsia="微软雅黑" w:cs="微软雅黑"/>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rPr>
        <w:t>第十二条 </w:t>
      </w:r>
      <w:r>
        <w:rPr>
          <w:rFonts w:hint="eastAsia" w:ascii="仿宋_GB2312" w:hAnsi="微软雅黑" w:eastAsia="仿宋_GB2312" w:cs="仿宋_GB2312"/>
          <w:b w:val="0"/>
          <w:i w:val="0"/>
          <w:caps w:val="0"/>
          <w:color w:val="333333"/>
          <w:spacing w:val="0"/>
          <w:sz w:val="31"/>
          <w:szCs w:val="31"/>
          <w:shd w:val="clear" w:fill="FFFFFF"/>
        </w:rPr>
        <w:t>政府各部门应当加强住所（经营场所）的监督管理。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30"/>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15"/>
          <w:sz w:val="31"/>
          <w:szCs w:val="31"/>
          <w:shd w:val="clear" w:fill="FFFFFF"/>
        </w:rPr>
        <w:t>市场监管部门按照“双随机、一公开”要求，随机选派执法检查人员，对每年新登记和变更过住所（经营场所）的主体按一定的比例进行随机检查，并将检查情况及查处结果及时向社会公开，对查无下落的主体依法列入经营异常名录。对企业登记住所（经营场所）与实际不符的责令限期改正，逾期不改正的，依法处罚。对不如实申报住所（经营场所）而取得工商登记的，依照有关法律、行政法规规定给予行政处罚；情节严重的，撤销工商登记或吊销营业执照，并实行信用惩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30"/>
        <w:jc w:val="both"/>
        <w:textAlignment w:val="auto"/>
        <w:rPr>
          <w:rFonts w:hint="eastAsia" w:ascii="微软雅黑" w:hAnsi="微软雅黑" w:eastAsia="微软雅黑" w:cs="微软雅黑"/>
          <w:b w:val="0"/>
          <w:i w:val="0"/>
          <w:caps w:val="0"/>
          <w:color w:val="333333"/>
          <w:spacing w:val="0"/>
          <w:sz w:val="27"/>
          <w:szCs w:val="27"/>
        </w:rPr>
      </w:pPr>
      <w:r>
        <w:rPr>
          <w:rFonts w:hint="eastAsia" w:ascii="仿宋_GB2312" w:hAnsi="微软雅黑" w:eastAsia="仿宋_GB2312" w:cs="仿宋_GB2312"/>
          <w:b w:val="0"/>
          <w:i w:val="0"/>
          <w:caps w:val="0"/>
          <w:color w:val="333333"/>
          <w:spacing w:val="0"/>
          <w:sz w:val="31"/>
          <w:szCs w:val="31"/>
          <w:shd w:val="clear" w:fill="FFFFFF"/>
        </w:rPr>
        <w:t>对利用违法建筑、擅自改变房屋用途等从事生产经营活动的，由规划、住建、国土、公安、环保、安全监管、综合执法等部门依法管理；涉及许可审批事项的，由负责许可审批的行政管理部门依法监管。对企业住所（经营场所）申报登记违反安全生产或环境保护等综合治理要求的，由属地乡镇政府（街道办事处）牵头，各部门协作进行联合惩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30"/>
        <w:jc w:val="both"/>
        <w:textAlignment w:val="auto"/>
        <w:rPr>
          <w:rFonts w:hint="eastAsia" w:ascii="微软雅黑" w:hAnsi="微软雅黑" w:eastAsia="微软雅黑" w:cs="微软雅黑"/>
          <w:b w:val="0"/>
          <w:i w:val="0"/>
          <w:caps w:val="0"/>
          <w:color w:val="333333"/>
          <w:spacing w:val="0"/>
          <w:sz w:val="27"/>
          <w:szCs w:val="27"/>
        </w:rPr>
      </w:pPr>
      <w:r>
        <w:rPr>
          <w:rFonts w:hint="eastAsia" w:ascii="黑体" w:hAnsi="宋体" w:eastAsia="黑体" w:cs="黑体"/>
          <w:b w:val="0"/>
          <w:i w:val="0"/>
          <w:caps w:val="0"/>
          <w:color w:val="333333"/>
          <w:spacing w:val="0"/>
          <w:sz w:val="31"/>
          <w:szCs w:val="31"/>
          <w:shd w:val="clear" w:fill="FFFFFF"/>
        </w:rPr>
        <w:t>第十三条 </w:t>
      </w:r>
      <w:r>
        <w:rPr>
          <w:rFonts w:hint="eastAsia" w:ascii="仿宋_GB2312" w:hAnsi="微软雅黑" w:eastAsia="仿宋_GB2312" w:cs="仿宋_GB2312"/>
          <w:b w:val="0"/>
          <w:i w:val="0"/>
          <w:caps w:val="0"/>
          <w:color w:val="333333"/>
          <w:spacing w:val="0"/>
          <w:sz w:val="31"/>
          <w:szCs w:val="31"/>
          <w:shd w:val="clear" w:fill="FFFFFF"/>
        </w:rPr>
        <w:t>住所（经营场所）信息申报承诺书由市场监管部门依据相关文件修订。法律法规另有规定的从其规定。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r>
        <w:rPr>
          <w:rFonts w:hint="eastAsia" w:ascii="黑体" w:hAnsi="宋体" w:eastAsia="黑体" w:cs="黑体"/>
          <w:b w:val="0"/>
          <w:i w:val="0"/>
          <w:caps w:val="0"/>
          <w:color w:val="333333"/>
          <w:spacing w:val="0"/>
          <w:sz w:val="31"/>
          <w:szCs w:val="31"/>
          <w:shd w:val="clear" w:fill="FFFFFF"/>
        </w:rPr>
        <w:t>第十四条 </w:t>
      </w:r>
      <w:r>
        <w:rPr>
          <w:rFonts w:hint="eastAsia" w:ascii="仿宋_GB2312" w:hAnsi="微软雅黑" w:eastAsia="仿宋_GB2312" w:cs="仿宋_GB2312"/>
          <w:b w:val="0"/>
          <w:i w:val="0"/>
          <w:caps w:val="0"/>
          <w:color w:val="333333"/>
          <w:spacing w:val="0"/>
          <w:sz w:val="31"/>
          <w:szCs w:val="31"/>
          <w:shd w:val="clear" w:fill="FFFFFF"/>
        </w:rPr>
        <w:t>本细</w:t>
      </w:r>
      <w:bookmarkStart w:id="0" w:name="_GoBack"/>
      <w:r>
        <w:rPr>
          <w:rFonts w:hint="eastAsia" w:ascii="仿宋_GB2312" w:hAnsi="微软雅黑" w:eastAsia="仿宋_GB2312" w:cs="仿宋_GB2312"/>
          <w:b w:val="0"/>
          <w:i w:val="0"/>
          <w:caps w:val="0"/>
          <w:color w:val="333333"/>
          <w:spacing w:val="0"/>
          <w:sz w:val="31"/>
          <w:szCs w:val="31"/>
          <w:shd w:val="clear" w:fill="FFFFFF"/>
        </w:rPr>
        <w:t>则自印发之日起实施。</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spacing w:line="590" w:lineRule="exact"/>
        <w:ind w:firstLine="616" w:firstLineChars="200"/>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rPr>
        <w:t>附件</w:t>
      </w:r>
      <w:r>
        <w:rPr>
          <w:rFonts w:hint="eastAsia" w:ascii="仿宋_GB2312" w:hAnsi="仿宋_GB2312" w:eastAsia="仿宋_GB2312" w:cs="仿宋_GB2312"/>
          <w:color w:val="auto"/>
          <w:spacing w:val="-6"/>
          <w:sz w:val="32"/>
          <w:szCs w:val="32"/>
          <w:lang w:eastAsia="zh-CN"/>
        </w:rPr>
        <w:t>：</w:t>
      </w:r>
    </w:p>
    <w:p>
      <w:pPr>
        <w:numPr>
          <w:numId w:val="0"/>
        </w:num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衢州市柯城区住所（经营场所）信息申报表</w:t>
      </w:r>
    </w:p>
    <w:p>
      <w:pPr>
        <w:numPr>
          <w:numId w:val="0"/>
        </w:num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衢州市柯城区住所（经营场所）登记申报承诺制负面清单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spacing w:line="590" w:lineRule="exact"/>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pacing w:val="-6"/>
          <w:sz w:val="28"/>
        </w:rPr>
        <w:t>附件1</w:t>
      </w:r>
    </w:p>
    <w:p>
      <w:pPr>
        <w:jc w:val="center"/>
        <w:rPr>
          <w:rFonts w:hint="eastAsia" w:ascii="方正小标宋简体" w:hAnsi="Calibri" w:eastAsia="方正小标宋简体"/>
          <w:color w:val="auto"/>
          <w:sz w:val="44"/>
          <w:szCs w:val="44"/>
        </w:rPr>
      </w:pPr>
      <w:r>
        <w:rPr>
          <w:rFonts w:hint="eastAsia" w:ascii="方正小标宋简体" w:hAnsi="宋体" w:eastAsia="方正小标宋简体"/>
          <w:color w:val="auto"/>
          <w:sz w:val="44"/>
          <w:szCs w:val="44"/>
        </w:rPr>
        <w:t>衢州市柯城区住所（经营场所）信息申报表</w:t>
      </w:r>
    </w:p>
    <w:tbl>
      <w:tblPr>
        <w:tblStyle w:val="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6"/>
        <w:gridCol w:w="7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8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Calibri" w:eastAsia="仿宋_GB2312"/>
                <w:color w:val="auto"/>
                <w:szCs w:val="21"/>
              </w:rPr>
            </w:pPr>
            <w:r>
              <w:rPr>
                <w:rFonts w:hint="eastAsia" w:ascii="宋体" w:hAnsi="宋体"/>
                <w:color w:val="auto"/>
                <w:szCs w:val="21"/>
              </w:rPr>
              <w:t>企业名称</w:t>
            </w:r>
          </w:p>
          <w:p>
            <w:pPr>
              <w:spacing w:line="240" w:lineRule="exact"/>
              <w:jc w:val="center"/>
              <w:rPr>
                <w:rFonts w:ascii="宋体" w:hAnsi="宋体" w:eastAsia="仿宋_GB2312"/>
                <w:color w:val="auto"/>
                <w:szCs w:val="21"/>
              </w:rPr>
            </w:pPr>
            <w:r>
              <w:rPr>
                <w:rFonts w:hint="eastAsia" w:ascii="宋体" w:hAnsi="宋体"/>
                <w:color w:val="auto"/>
                <w:szCs w:val="21"/>
              </w:rPr>
              <w:t>(经营者姓名)</w:t>
            </w:r>
          </w:p>
        </w:tc>
        <w:tc>
          <w:tcPr>
            <w:tcW w:w="71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Calibri"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8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Calibri" w:eastAsia="仿宋_GB2312"/>
                <w:color w:val="auto"/>
                <w:szCs w:val="21"/>
              </w:rPr>
            </w:pPr>
            <w:r>
              <w:rPr>
                <w:rFonts w:hint="eastAsia" w:ascii="宋体" w:hAnsi="宋体"/>
                <w:color w:val="auto"/>
                <w:szCs w:val="21"/>
              </w:rPr>
              <w:t>住所(经营场所)地址</w:t>
            </w:r>
          </w:p>
        </w:tc>
        <w:tc>
          <w:tcPr>
            <w:tcW w:w="71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仿宋_GB2312"/>
                <w:color w:val="auto"/>
                <w:szCs w:val="21"/>
              </w:rPr>
            </w:pPr>
            <w:r>
              <w:rPr>
                <w:rFonts w:hint="eastAsia" w:ascii="宋体" w:hAnsi="宋体"/>
                <w:color w:val="auto"/>
                <w:szCs w:val="21"/>
              </w:rPr>
              <w:t xml:space="preserve">浙江省衢州市       县(市/区)     乡(镇/街道)      </w:t>
            </w:r>
          </w:p>
          <w:p>
            <w:pPr>
              <w:spacing w:line="240" w:lineRule="exact"/>
              <w:rPr>
                <w:rFonts w:ascii="宋体" w:hAnsi="Calibri" w:eastAsia="仿宋_GB2312"/>
                <w:color w:val="auto"/>
                <w:szCs w:val="21"/>
              </w:rPr>
            </w:pPr>
            <w:r>
              <w:rPr>
                <w:rFonts w:hint="eastAsia" w:ascii="宋体" w:hAnsi="宋体"/>
                <w:color w:val="auto"/>
                <w:szCs w:val="21"/>
              </w:rPr>
              <w:t xml:space="preserve">       村(路/社区)           号      幢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Calibri" w:eastAsia="仿宋_GB2312"/>
                <w:color w:val="auto"/>
                <w:szCs w:val="21"/>
              </w:rPr>
            </w:pPr>
            <w:r>
              <w:rPr>
                <w:rFonts w:hint="eastAsia" w:ascii="宋体" w:hAnsi="宋体"/>
                <w:color w:val="auto"/>
                <w:szCs w:val="21"/>
              </w:rPr>
              <w:t>产权所有人</w:t>
            </w:r>
          </w:p>
        </w:tc>
        <w:tc>
          <w:tcPr>
            <w:tcW w:w="71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Calibri"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8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Calibri" w:eastAsia="宋体"/>
                <w:color w:val="auto"/>
                <w:szCs w:val="21"/>
                <w:lang w:eastAsia="zh-CN"/>
              </w:rPr>
            </w:pPr>
            <w:r>
              <w:rPr>
                <w:rFonts w:hint="eastAsia" w:ascii="宋体" w:hAnsi="宋体"/>
                <w:color w:val="auto"/>
                <w:szCs w:val="21"/>
              </w:rPr>
              <w:t>房屋用途</w:t>
            </w:r>
          </w:p>
        </w:tc>
        <w:tc>
          <w:tcPr>
            <w:tcW w:w="71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Calibri" w:eastAsia="仿宋_GB2312"/>
                <w:color w:val="auto"/>
                <w:szCs w:val="21"/>
              </w:rPr>
            </w:pPr>
            <w:r>
              <w:rPr>
                <w:rFonts w:hint="eastAsia" w:ascii="宋体" w:hAnsi="宋体"/>
                <w:color w:val="auto"/>
                <w:szCs w:val="21"/>
              </w:rPr>
              <w:t>□经营性用房</w:t>
            </w:r>
          </w:p>
          <w:p>
            <w:pPr>
              <w:spacing w:line="240" w:lineRule="exact"/>
              <w:rPr>
                <w:rFonts w:hint="eastAsia" w:ascii="宋体"/>
                <w:color w:val="auto"/>
                <w:szCs w:val="21"/>
              </w:rPr>
            </w:pPr>
            <w:r>
              <w:rPr>
                <w:rFonts w:hint="eastAsia" w:ascii="宋体" w:hAnsi="宋体"/>
                <w:color w:val="auto"/>
                <w:szCs w:val="21"/>
              </w:rPr>
              <w:t>□非经营性用房    其中：□住宅     □其他非经营性用房</w:t>
            </w:r>
          </w:p>
          <w:p>
            <w:pPr>
              <w:spacing w:line="240" w:lineRule="exact"/>
              <w:rPr>
                <w:rFonts w:ascii="宋体" w:hAnsi="Calibri" w:eastAsia="仿宋_GB2312"/>
                <w:color w:val="auto"/>
                <w:szCs w:val="21"/>
              </w:rPr>
            </w:pPr>
            <w:r>
              <w:rPr>
                <w:rFonts w:hint="eastAsia" w:ascii="宋体" w:hAnsi="宋体"/>
                <w:color w:val="auto"/>
                <w:szCs w:val="21"/>
              </w:rPr>
              <w:t>□军队、武警等单位所有属于专项管理房屋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81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Calibri" w:eastAsia="仿宋_GB2312"/>
                <w:color w:val="auto"/>
                <w:szCs w:val="21"/>
              </w:rPr>
            </w:pPr>
            <w:r>
              <w:rPr>
                <w:rFonts w:hint="eastAsia" w:ascii="宋体" w:hAnsi="宋体"/>
                <w:color w:val="auto"/>
                <w:szCs w:val="21"/>
              </w:rPr>
              <w:t>使用权取得方式</w:t>
            </w:r>
          </w:p>
        </w:tc>
        <w:tc>
          <w:tcPr>
            <w:tcW w:w="71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Calibri" w:eastAsia="仿宋_GB2312"/>
                <w:color w:val="auto"/>
                <w:szCs w:val="21"/>
              </w:rPr>
            </w:pPr>
            <w:r>
              <w:rPr>
                <w:rFonts w:hint="eastAsia" w:ascii="宋体" w:hAnsi="宋体"/>
                <w:color w:val="auto"/>
                <w:szCs w:val="21"/>
              </w:rPr>
              <w:t>□租赁       □无偿使用       □自有产权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6" w:hRule="atLeast"/>
        </w:trPr>
        <w:tc>
          <w:tcPr>
            <w:tcW w:w="8931" w:type="dxa"/>
            <w:gridSpan w:val="2"/>
            <w:tcBorders>
              <w:top w:val="single" w:color="auto" w:sz="4" w:space="0"/>
              <w:left w:val="single" w:color="auto" w:sz="4" w:space="0"/>
              <w:bottom w:val="single" w:color="auto" w:sz="4" w:space="0"/>
              <w:right w:val="single" w:color="auto" w:sz="4" w:space="0"/>
            </w:tcBorders>
            <w:vAlign w:val="top"/>
          </w:tcPr>
          <w:p>
            <w:pPr>
              <w:spacing w:line="240" w:lineRule="exact"/>
              <w:ind w:firstLine="422" w:firstLineChars="200"/>
              <w:rPr>
                <w:rFonts w:ascii="宋体" w:hAnsi="Calibri" w:eastAsia="仿宋_GB2312"/>
                <w:color w:val="auto"/>
                <w:szCs w:val="21"/>
              </w:rPr>
            </w:pPr>
            <w:r>
              <w:rPr>
                <w:rFonts w:hint="eastAsia" w:ascii="宋体" w:hAnsi="宋体"/>
                <w:b/>
                <w:color w:val="auto"/>
                <w:szCs w:val="21"/>
              </w:rPr>
              <w:t>我(们)已阅读</w:t>
            </w:r>
            <w:r>
              <w:rPr>
                <w:rFonts w:hint="eastAsia" w:ascii="宋体" w:hAnsi="宋体" w:cs="宋体"/>
                <w:b/>
                <w:color w:val="auto"/>
                <w:szCs w:val="21"/>
                <w:lang w:val="en-US" w:eastAsia="zh-CN"/>
              </w:rPr>
              <w:t>《</w:t>
            </w:r>
            <w:r>
              <w:rPr>
                <w:rFonts w:hint="default" w:ascii="宋体" w:hAnsi="宋体" w:cs="宋体"/>
                <w:b/>
                <w:color w:val="auto"/>
                <w:szCs w:val="21"/>
                <w:lang w:val="en-US" w:eastAsia="zh-CN"/>
              </w:rPr>
              <w:t>中华人民共和国民法总则</w:t>
            </w:r>
            <w:r>
              <w:rPr>
                <w:rFonts w:hint="eastAsia" w:ascii="宋体" w:hAnsi="宋体" w:cs="宋体"/>
                <w:b/>
                <w:color w:val="auto"/>
                <w:szCs w:val="21"/>
                <w:lang w:val="en-US" w:eastAsia="zh-CN"/>
              </w:rPr>
              <w:t>》、</w:t>
            </w:r>
            <w:r>
              <w:rPr>
                <w:rFonts w:hint="eastAsia" w:ascii="宋体" w:hAnsi="宋体" w:cs="宋体"/>
                <w:b/>
                <w:color w:val="auto"/>
                <w:szCs w:val="21"/>
              </w:rPr>
              <w:t>《浙江省放宽企业住所(经营场所)登记条件的规定》</w:t>
            </w:r>
            <w:r>
              <w:rPr>
                <w:rFonts w:hint="eastAsia" w:ascii="宋体" w:hAnsi="宋体" w:cs="宋体"/>
                <w:b/>
                <w:color w:val="auto"/>
                <w:szCs w:val="21"/>
                <w:lang w:eastAsia="zh-CN"/>
              </w:rPr>
              <w:t>、《衢州市柯城区放宽企业住所（经营场所）登记条件实施细则》，</w:t>
            </w:r>
            <w:r>
              <w:rPr>
                <w:rFonts w:hint="eastAsia" w:ascii="宋体" w:hAnsi="宋体"/>
                <w:b/>
                <w:color w:val="auto"/>
                <w:szCs w:val="21"/>
              </w:rPr>
              <w:t>知晓应承担的法律责任。所申报的住所(经营场所)信息符合规定并郑重作出以下承诺</w:t>
            </w:r>
            <w:r>
              <w:rPr>
                <w:rFonts w:hint="eastAsia" w:ascii="宋体" w:hAnsi="宋体"/>
                <w:color w:val="auto"/>
                <w:szCs w:val="21"/>
              </w:rPr>
              <w:t>：</w:t>
            </w:r>
          </w:p>
          <w:p>
            <w:pPr>
              <w:spacing w:line="240" w:lineRule="exact"/>
              <w:ind w:left="15" w:firstLine="420" w:firstLineChars="200"/>
              <w:rPr>
                <w:rStyle w:val="6"/>
                <w:rFonts w:hint="eastAsia" w:ascii="宋体" w:hAnsi="Calibri" w:cs="宋体"/>
                <w:color w:val="auto"/>
                <w:sz w:val="32"/>
                <w:szCs w:val="32"/>
              </w:rPr>
            </w:pPr>
            <w:r>
              <w:rPr>
                <w:rFonts w:hint="eastAsia" w:ascii="宋体" w:hAnsi="宋体" w:cs="宋体"/>
                <w:color w:val="auto"/>
                <w:szCs w:val="21"/>
              </w:rPr>
              <w:t>1．所提交的文件、证件等材料真实、合法、有效，复印件与原件一致，并对因提交虚假文件、证件所引发的一切后果承担相应的法律责任。</w:t>
            </w:r>
          </w:p>
          <w:p>
            <w:pPr>
              <w:spacing w:line="240" w:lineRule="exact"/>
              <w:ind w:left="15" w:firstLine="420" w:firstLineChars="200"/>
              <w:rPr>
                <w:rFonts w:hint="eastAsia" w:ascii="宋体" w:hAnsi="宋体" w:cs="宋体"/>
                <w:color w:val="auto"/>
                <w:szCs w:val="21"/>
                <w:lang w:val="en-US" w:eastAsia="zh-CN"/>
              </w:rPr>
            </w:pPr>
            <w:r>
              <w:rPr>
                <w:rFonts w:hint="eastAsia" w:ascii="宋体" w:hAnsi="宋体"/>
                <w:color w:val="auto"/>
                <w:szCs w:val="21"/>
              </w:rPr>
              <w:t>2．</w:t>
            </w:r>
            <w:r>
              <w:rPr>
                <w:rFonts w:hint="eastAsia" w:ascii="宋体" w:hAnsi="宋体"/>
                <w:color w:val="auto"/>
                <w:szCs w:val="21"/>
                <w:lang w:eastAsia="zh-CN"/>
              </w:rPr>
              <w:t>该房屋土地不属于工业用地性质，</w:t>
            </w:r>
            <w:r>
              <w:rPr>
                <w:rFonts w:hint="eastAsia" w:ascii="宋体" w:hAnsi="宋体"/>
                <w:color w:val="auto"/>
                <w:szCs w:val="21"/>
              </w:rPr>
              <w:t>已依法取得房屋使用权，该住所(经营场所)符合建筑安全、安全生产以及国家安全的要求</w:t>
            </w:r>
            <w:r>
              <w:rPr>
                <w:rFonts w:hint="eastAsia" w:ascii="宋体" w:hAnsi="宋体" w:cs="宋体"/>
                <w:color w:val="auto"/>
                <w:szCs w:val="21"/>
                <w:lang w:eastAsia="zh-CN"/>
              </w:rPr>
              <w:t>，既</w:t>
            </w:r>
            <w:r>
              <w:rPr>
                <w:rFonts w:hint="eastAsia" w:ascii="宋体" w:hAnsi="宋体" w:cs="宋体"/>
                <w:color w:val="auto"/>
                <w:szCs w:val="21"/>
              </w:rPr>
              <w:t>不属于违法建筑、危险建筑等依法不能用作住所(经营场所)的房屋</w:t>
            </w:r>
            <w:r>
              <w:rPr>
                <w:rFonts w:hint="eastAsia" w:ascii="宋体" w:hAnsi="宋体" w:cs="宋体"/>
                <w:color w:val="auto"/>
                <w:szCs w:val="21"/>
                <w:lang w:eastAsia="zh-CN"/>
              </w:rPr>
              <w:t>，也不属于征收、拆迁范围或</w:t>
            </w:r>
            <w:r>
              <w:rPr>
                <w:rFonts w:hint="eastAsia" w:ascii="宋体" w:hAnsi="宋体" w:cs="宋体"/>
                <w:color w:val="auto"/>
                <w:szCs w:val="21"/>
                <w:lang w:val="en-US" w:eastAsia="zh-CN"/>
              </w:rPr>
              <w:t>封闭式小区内的房屋。</w:t>
            </w:r>
          </w:p>
          <w:p>
            <w:pPr>
              <w:spacing w:line="240" w:lineRule="exact"/>
              <w:ind w:left="15" w:firstLine="420" w:firstLineChars="200"/>
              <w:rPr>
                <w:rFonts w:hint="eastAsia" w:ascii="宋体" w:hAnsi="宋体" w:cs="宋体"/>
                <w:color w:val="auto"/>
                <w:szCs w:val="21"/>
              </w:rPr>
            </w:pPr>
          </w:p>
          <w:p>
            <w:pPr>
              <w:spacing w:line="240" w:lineRule="exact"/>
              <w:ind w:left="15" w:firstLine="420" w:firstLineChars="200"/>
              <w:rPr>
                <w:rFonts w:hint="eastAsia" w:ascii="宋体" w:hAnsi="宋体"/>
                <w:color w:val="auto"/>
                <w:szCs w:val="21"/>
              </w:rPr>
            </w:pPr>
            <w:r>
              <w:rPr>
                <w:rFonts w:hint="eastAsia" w:ascii="宋体" w:hAnsi="宋体" w:cs="宋体"/>
                <w:color w:val="auto"/>
                <w:szCs w:val="21"/>
              </w:rPr>
              <w:t>3．法律、法规规定应当经有关部门批准方可在住所(经营场所)从事相关经营活动的，在取得许可证或</w:t>
            </w:r>
            <w:r>
              <w:rPr>
                <w:rFonts w:hint="eastAsia" w:ascii="宋体" w:hAnsi="宋体"/>
                <w:color w:val="auto"/>
                <w:szCs w:val="21"/>
              </w:rPr>
              <w:t>批准文件前不开展相关经营活动。</w:t>
            </w:r>
          </w:p>
          <w:p>
            <w:pPr>
              <w:spacing w:line="240" w:lineRule="exact"/>
              <w:ind w:firstLine="420"/>
              <w:rPr>
                <w:rFonts w:hint="eastAsia"/>
                <w:color w:val="auto"/>
                <w:sz w:val="32"/>
                <w:szCs w:val="32"/>
              </w:rPr>
            </w:pPr>
            <w:r>
              <w:rPr>
                <w:rFonts w:hint="eastAsia" w:ascii="宋体" w:hAnsi="宋体"/>
                <w:color w:val="auto"/>
                <w:szCs w:val="21"/>
              </w:rPr>
              <w:t>4. 企业住所（经营场所）应当经</w:t>
            </w:r>
            <w:r>
              <w:rPr>
                <w:rFonts w:hint="eastAsia" w:ascii="宋体" w:hAnsi="宋体"/>
                <w:color w:val="auto"/>
                <w:szCs w:val="21"/>
                <w:lang w:eastAsia="zh-CN"/>
              </w:rPr>
              <w:t>市场监管部门</w:t>
            </w:r>
            <w:r>
              <w:rPr>
                <w:rFonts w:hint="eastAsia" w:ascii="宋体" w:hAnsi="宋体"/>
                <w:color w:val="auto"/>
                <w:szCs w:val="21"/>
              </w:rPr>
              <w:t>登记，变更住所（经营场所）的，应当在迁入新住所（经营场所）前依法申请变更登记。住所（经营场所）登记，不具有确认房产权属、认定房屋使用属性或作为征收补偿依据的作用。</w:t>
            </w:r>
            <w:r>
              <w:rPr>
                <w:rFonts w:hint="eastAsia" w:ascii="宋体" w:hAnsi="宋体"/>
                <w:color w:val="auto"/>
                <w:szCs w:val="21"/>
              </w:rPr>
              <w:br w:type="textWrapping"/>
            </w:r>
            <w:r>
              <w:rPr>
                <w:rFonts w:hint="eastAsia" w:ascii="宋体" w:hAnsi="宋体"/>
                <w:color w:val="auto"/>
                <w:szCs w:val="21"/>
              </w:rPr>
              <w:t xml:space="preserve">  5．使用住宅（包括辅房、</w:t>
            </w:r>
            <w:r>
              <w:rPr>
                <w:rFonts w:hint="eastAsia" w:ascii="宋体" w:hAnsi="宋体"/>
                <w:color w:val="auto"/>
                <w:szCs w:val="21"/>
                <w:lang w:eastAsia="zh-CN"/>
              </w:rPr>
              <w:t>架空层、</w:t>
            </w:r>
            <w:r>
              <w:rPr>
                <w:rFonts w:hint="eastAsia" w:ascii="宋体" w:hAnsi="宋体"/>
                <w:color w:val="auto"/>
                <w:szCs w:val="21"/>
              </w:rPr>
              <w:t>车库）为住所（经营场所）的，</w:t>
            </w:r>
            <w:r>
              <w:rPr>
                <w:rFonts w:hint="eastAsia" w:ascii="宋体" w:hAnsi="宋体"/>
                <w:color w:val="auto"/>
                <w:szCs w:val="21"/>
                <w:lang w:eastAsia="zh-CN"/>
              </w:rPr>
              <w:t>承诺遵守文明城市创建规范要求，</w:t>
            </w:r>
            <w:r>
              <w:rPr>
                <w:rFonts w:hint="eastAsia" w:ascii="宋体" w:hAnsi="宋体"/>
                <w:color w:val="auto"/>
                <w:szCs w:val="21"/>
              </w:rPr>
              <w:t>已知悉《物权法》第77条关于将住宅改变为经营性用房的规定，遵守《中华人民共和国民法通则》、《中华人民共和国物权法》等法律、法规及管理规约有关规定，遵守公序良俗</w:t>
            </w:r>
            <w:r>
              <w:rPr>
                <w:rStyle w:val="6"/>
                <w:rFonts w:hint="eastAsia" w:ascii="宋体" w:hAnsi="宋体" w:cs="宋体"/>
                <w:color w:val="auto"/>
                <w:szCs w:val="21"/>
              </w:rPr>
              <w:t>，</w:t>
            </w:r>
            <w:r>
              <w:rPr>
                <w:rStyle w:val="6"/>
                <w:rFonts w:hint="eastAsia" w:ascii="宋体" w:hAnsi="宋体" w:cs="宋体"/>
                <w:color w:val="auto"/>
                <w:szCs w:val="21"/>
                <w:lang w:eastAsia="zh-CN"/>
              </w:rPr>
              <w:t>并征得利害关系人书面同意。</w:t>
            </w:r>
            <w:r>
              <w:rPr>
                <w:rFonts w:hint="eastAsia" w:ascii="宋体" w:hAnsi="宋体"/>
                <w:b/>
                <w:color w:val="auto"/>
                <w:szCs w:val="21"/>
              </w:rPr>
              <w:t>如存在污染、扰民情形，将无条件消除不良影响或主动搬迁，承担相应法律责任。</w:t>
            </w:r>
          </w:p>
          <w:p>
            <w:pPr>
              <w:spacing w:line="240" w:lineRule="exact"/>
              <w:rPr>
                <w:rFonts w:ascii="宋体"/>
                <w:color w:val="auto"/>
                <w:szCs w:val="21"/>
              </w:rPr>
            </w:pPr>
          </w:p>
          <w:p>
            <w:pPr>
              <w:spacing w:line="240" w:lineRule="exact"/>
              <w:rPr>
                <w:rFonts w:hint="eastAsia" w:ascii="宋体"/>
                <w:color w:val="auto"/>
                <w:szCs w:val="21"/>
              </w:rPr>
            </w:pPr>
            <w:r>
              <w:rPr>
                <w:rFonts w:hint="eastAsia" w:ascii="宋体" w:hAnsi="宋体"/>
                <w:color w:val="auto"/>
                <w:szCs w:val="21"/>
              </w:rPr>
              <w:t xml:space="preserve">  </w:t>
            </w:r>
            <w:r>
              <w:rPr>
                <w:rFonts w:hint="eastAsia" w:ascii="宋体" w:hAnsi="宋体" w:cs="宋体"/>
                <w:color w:val="auto"/>
                <w:szCs w:val="21"/>
              </w:rPr>
              <w:t>申请人签字或者盖章</w:t>
            </w:r>
            <w:r>
              <w:rPr>
                <w:rFonts w:hint="eastAsia" w:ascii="宋体" w:hAnsi="宋体"/>
                <w:color w:val="auto"/>
                <w:szCs w:val="21"/>
              </w:rPr>
              <w:t>：</w:t>
            </w:r>
          </w:p>
          <w:p>
            <w:pPr>
              <w:spacing w:line="240" w:lineRule="exact"/>
              <w:rPr>
                <w:rFonts w:hint="eastAsia" w:ascii="宋体"/>
                <w:color w:val="auto"/>
                <w:szCs w:val="21"/>
              </w:rPr>
            </w:pPr>
          </w:p>
          <w:p>
            <w:pPr>
              <w:spacing w:line="240" w:lineRule="exact"/>
              <w:rPr>
                <w:rFonts w:hint="eastAsia" w:ascii="宋体"/>
                <w:color w:val="auto"/>
                <w:szCs w:val="21"/>
              </w:rPr>
            </w:pPr>
          </w:p>
          <w:p>
            <w:pPr>
              <w:spacing w:line="240" w:lineRule="exact"/>
              <w:rPr>
                <w:rFonts w:hint="eastAsia" w:ascii="宋体"/>
                <w:color w:val="auto"/>
                <w:szCs w:val="21"/>
              </w:rPr>
            </w:pPr>
          </w:p>
          <w:p>
            <w:pPr>
              <w:spacing w:line="240" w:lineRule="exact"/>
              <w:rPr>
                <w:rFonts w:ascii="宋体" w:hAnsi="Calibri" w:eastAsia="仿宋_GB2312"/>
                <w:color w:val="auto"/>
                <w:szCs w:val="21"/>
              </w:rPr>
            </w:pPr>
            <w:r>
              <w:rPr>
                <w:rFonts w:hint="eastAsia" w:ascii="宋体" w:hAnsi="宋体"/>
                <w:color w:val="auto"/>
                <w:szCs w:val="21"/>
              </w:rPr>
              <w:t xml:space="preserve">                                                    年     月     日 </w:t>
            </w:r>
          </w:p>
        </w:tc>
      </w:tr>
    </w:tbl>
    <w:p>
      <w:r>
        <w:rPr>
          <w:rFonts w:hint="eastAsia" w:ascii="宋体" w:hAnsi="宋体"/>
          <w:color w:val="auto"/>
          <w:szCs w:val="21"/>
        </w:rPr>
        <w:t>注：</w:t>
      </w:r>
      <w:r>
        <w:rPr>
          <w:rFonts w:hint="eastAsia" w:ascii="宋体" w:hAnsi="宋体"/>
          <w:b/>
          <w:color w:val="auto"/>
          <w:szCs w:val="21"/>
        </w:rPr>
        <w:t>设立登记：</w:t>
      </w:r>
      <w:r>
        <w:rPr>
          <w:rFonts w:hint="eastAsia" w:ascii="宋体" w:hAnsi="宋体"/>
          <w:color w:val="auto"/>
          <w:szCs w:val="21"/>
        </w:rPr>
        <w:t>各类企业、农民专业合作社申请人为全体投资人（出资人），股份公司申请人为董事会，营业单位、分支机构申请人为隶属单位(企业)，个体工商户为经营者。</w:t>
      </w:r>
      <w:r>
        <w:rPr>
          <w:rFonts w:hint="eastAsia" w:ascii="宋体" w:hAnsi="宋体"/>
          <w:b/>
          <w:color w:val="auto"/>
          <w:szCs w:val="21"/>
        </w:rPr>
        <w:t>变更登记：</w:t>
      </w:r>
      <w:r>
        <w:rPr>
          <w:rFonts w:hint="eastAsia" w:ascii="宋体" w:hAnsi="宋体"/>
          <w:color w:val="auto"/>
          <w:szCs w:val="21"/>
        </w:rPr>
        <w:t>各类企业、农民专业合作社申请人为本企业，营业单位、分支机构申请人为隶属单位(企业)，个体工商户为经营者。</w:t>
      </w:r>
      <w:r>
        <w:rPr>
          <w:rFonts w:hint="eastAsia" w:ascii="宋体" w:hAnsi="宋体"/>
          <w:b/>
          <w:color w:val="auto"/>
          <w:szCs w:val="21"/>
        </w:rPr>
        <w:t>自然人申请人由本人签字，非自然人申请</w:t>
      </w:r>
      <w:r>
        <w:rPr>
          <w:rFonts w:hint="eastAsia" w:ascii="宋体" w:hAnsi="宋体"/>
          <w:b/>
          <w:color w:val="auto"/>
          <w:szCs w:val="21"/>
          <w:lang w:eastAsia="zh-CN"/>
        </w:rPr>
        <w:t>由法定代表</w:t>
      </w:r>
      <w:r>
        <w:rPr>
          <w:rFonts w:hint="eastAsia" w:ascii="宋体" w:hAnsi="宋体"/>
          <w:b/>
          <w:color w:val="auto"/>
          <w:szCs w:val="21"/>
        </w:rPr>
        <w:t>人</w:t>
      </w:r>
      <w:r>
        <w:rPr>
          <w:rFonts w:hint="eastAsia" w:ascii="宋体" w:hAnsi="宋体"/>
          <w:b/>
          <w:color w:val="auto"/>
          <w:szCs w:val="21"/>
          <w:lang w:eastAsia="zh-CN"/>
        </w:rPr>
        <w:t>签字并</w:t>
      </w:r>
      <w:r>
        <w:rPr>
          <w:rFonts w:hint="eastAsia" w:ascii="宋体" w:hAnsi="宋体"/>
          <w:b/>
          <w:color w:val="auto"/>
          <w:szCs w:val="21"/>
        </w:rPr>
        <w:t>加盖公章。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jc w:val="both"/>
        <w:textAlignment w:val="auto"/>
        <w:rPr>
          <w:rFonts w:hint="eastAsia" w:ascii="仿宋_GB2312" w:hAnsi="微软雅黑" w:eastAsia="仿宋_GB2312" w:cs="仿宋_GB2312"/>
          <w:b w:val="0"/>
          <w:i w:val="0"/>
          <w:caps w:val="0"/>
          <w:color w:val="333333"/>
          <w:spacing w:val="0"/>
          <w:sz w:val="31"/>
          <w:szCs w:val="31"/>
          <w:shd w:val="clear" w:fill="FFFFFF"/>
        </w:rPr>
      </w:pPr>
    </w:p>
    <w:p>
      <w:pPr>
        <w:widowControl/>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附件2</w:t>
      </w:r>
    </w:p>
    <w:p>
      <w:pPr>
        <w:spacing w:line="560" w:lineRule="exact"/>
        <w:jc w:val="center"/>
        <w:rPr>
          <w:rFonts w:hint="eastAsia" w:eastAsia="方正小标宋简体"/>
          <w:color w:val="auto"/>
          <w:sz w:val="32"/>
          <w:szCs w:val="32"/>
        </w:rPr>
      </w:pPr>
      <w:r>
        <w:rPr>
          <w:rFonts w:hint="eastAsia" w:eastAsia="方正小标宋简体"/>
          <w:color w:val="auto"/>
          <w:sz w:val="32"/>
          <w:szCs w:val="32"/>
        </w:rPr>
        <w:t>衢州市柯城区住所（经营场所）登记申报承诺制负面清单</w:t>
      </w:r>
    </w:p>
    <w:p>
      <w:pPr>
        <w:spacing w:line="300" w:lineRule="exact"/>
        <w:rPr>
          <w:rFonts w:hint="eastAsia" w:eastAsia="仿宋_GB2312"/>
          <w:color w:val="auto"/>
          <w:sz w:val="24"/>
        </w:rPr>
      </w:pPr>
    </w:p>
    <w:tbl>
      <w:tblPr>
        <w:tblStyle w:val="5"/>
        <w:tblW w:w="86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3"/>
        <w:gridCol w:w="2505"/>
        <w:gridCol w:w="5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序号</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不实施住所（经营场所）登记申报承诺制的区域、行业或经营方式</w:t>
            </w:r>
          </w:p>
        </w:tc>
        <w:tc>
          <w:tcPr>
            <w:tcW w:w="555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lang w:eastAsia="zh-CN"/>
              </w:rPr>
            </w:pPr>
            <w:r>
              <w:rPr>
                <w:rFonts w:hint="eastAsia" w:eastAsia="仿宋_GB2312"/>
                <w:color w:val="auto"/>
                <w:sz w:val="24"/>
                <w:lang w:eastAsia="zh-CN"/>
              </w:rPr>
              <w:t>相应材料提供说明或要求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1</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港澳台个体户</w:t>
            </w:r>
          </w:p>
        </w:tc>
        <w:tc>
          <w:tcPr>
            <w:tcW w:w="555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提交《国家安全事项审查合格证》或国安部门出具意见。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2</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已领取市场名称登记证的专业市场</w:t>
            </w:r>
          </w:p>
        </w:tc>
        <w:tc>
          <w:tcPr>
            <w:tcW w:w="555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提交</w:t>
            </w:r>
            <w:r>
              <w:rPr>
                <w:rFonts w:hint="eastAsia" w:eastAsia="仿宋_GB2312"/>
                <w:color w:val="auto"/>
                <w:sz w:val="24"/>
                <w:lang w:eastAsia="zh-CN"/>
              </w:rPr>
              <w:t>市场名称登记证、</w:t>
            </w:r>
            <w:r>
              <w:rPr>
                <w:rFonts w:hint="eastAsia" w:eastAsia="仿宋_GB2312"/>
                <w:color w:val="auto"/>
                <w:sz w:val="24"/>
              </w:rPr>
              <w:t>商位租赁协议。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3</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制造（加工）业</w:t>
            </w:r>
          </w:p>
        </w:tc>
        <w:tc>
          <w:tcPr>
            <w:tcW w:w="555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提交租赁协议、房产证或不动权证或村（居）、当地乡镇人民政府（街道办事处）、园区管委会出具的权属证明。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lang w:eastAsia="zh-CN"/>
              </w:rPr>
            </w:pPr>
            <w:r>
              <w:rPr>
                <w:rFonts w:hint="eastAsia" w:eastAsia="仿宋_GB2312"/>
                <w:color w:val="auto"/>
                <w:sz w:val="24"/>
                <w:lang w:val="en-US" w:eastAsia="zh-CN"/>
              </w:rPr>
              <w:t>4</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“低小散乱”整治涉及的生产加工类小作坊。</w:t>
            </w:r>
          </w:p>
          <w:p>
            <w:pPr>
              <w:spacing w:line="300" w:lineRule="exact"/>
              <w:rPr>
                <w:rFonts w:hint="eastAsia" w:eastAsia="仿宋_GB2312"/>
                <w:color w:val="auto"/>
                <w:sz w:val="24"/>
              </w:rPr>
            </w:pPr>
          </w:p>
        </w:tc>
        <w:tc>
          <w:tcPr>
            <w:tcW w:w="555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提交租赁协议、房产证或不动权证或村（居）、当地乡镇人民政府（街道办事处）、园区管委会出具的权属证明。区委区政府或相关行业整治要求禁止或限制的区域禁止办理；</w:t>
            </w:r>
          </w:p>
          <w:p>
            <w:pPr>
              <w:spacing w:line="300" w:lineRule="exact"/>
              <w:rPr>
                <w:rFonts w:hint="eastAsia" w:eastAsia="仿宋_GB2312"/>
                <w:color w:val="auto"/>
                <w:sz w:val="24"/>
              </w:rPr>
            </w:pPr>
            <w:r>
              <w:rPr>
                <w:rFonts w:hint="eastAsia" w:eastAsia="仿宋_GB2312"/>
                <w:color w:val="auto"/>
                <w:sz w:val="24"/>
              </w:rPr>
              <w:t>区委区政府或相关行业整治组对提交材料有规定的，按其规定。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lang w:eastAsia="zh-CN"/>
              </w:rPr>
            </w:pPr>
            <w:r>
              <w:rPr>
                <w:rFonts w:hint="eastAsia" w:eastAsia="仿宋_GB2312"/>
                <w:color w:val="auto"/>
                <w:sz w:val="24"/>
                <w:lang w:val="en-US" w:eastAsia="zh-CN"/>
              </w:rPr>
              <w:t>5</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废旧物品回收行业</w:t>
            </w:r>
          </w:p>
        </w:tc>
        <w:tc>
          <w:tcPr>
            <w:tcW w:w="555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lang w:eastAsia="zh-CN"/>
              </w:rPr>
              <w:t>根据《</w:t>
            </w:r>
            <w:r>
              <w:rPr>
                <w:rFonts w:hint="eastAsia" w:eastAsia="仿宋_GB2312"/>
                <w:color w:val="auto"/>
                <w:sz w:val="24"/>
              </w:rPr>
              <w:t>衢州市人民政府办公室关于印发衢州市区再生资源回收管理办法的通知</w:t>
            </w:r>
            <w:r>
              <w:rPr>
                <w:rFonts w:hint="eastAsia" w:eastAsia="仿宋_GB2312"/>
                <w:color w:val="auto"/>
                <w:sz w:val="24"/>
                <w:lang w:eastAsia="zh-CN"/>
              </w:rPr>
              <w:t>》第十条规定，提交</w:t>
            </w:r>
            <w:r>
              <w:rPr>
                <w:rFonts w:hint="eastAsia" w:eastAsia="仿宋_GB2312"/>
                <w:color w:val="auto"/>
                <w:sz w:val="24"/>
              </w:rPr>
              <w:t>租赁协议、房产证或不动权证或村（居）、当地乡镇人民政府（街道办事处）、园区管委会出具的权属证明。区委区政府或相关行业整治要求禁止或限制的区域禁止办理；区</w:t>
            </w:r>
            <w:r>
              <w:rPr>
                <w:rFonts w:hint="eastAsia" w:eastAsia="仿宋_GB2312"/>
                <w:color w:val="auto"/>
                <w:sz w:val="24"/>
                <w:lang w:eastAsia="zh-CN"/>
              </w:rPr>
              <w:t>委区政府或相关行业整治组对提交材料有规定的，按其规定。</w:t>
            </w:r>
            <w:r>
              <w:rPr>
                <w:rFonts w:hint="default" w:eastAsia="仿宋_GB2312"/>
                <w:color w:val="auto"/>
                <w:sz w:val="24"/>
                <w:lang w:val="en-US"/>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lang w:eastAsia="zh-CN"/>
              </w:rPr>
            </w:pPr>
            <w:r>
              <w:rPr>
                <w:rFonts w:hint="eastAsia" w:eastAsia="仿宋_GB2312"/>
                <w:color w:val="auto"/>
                <w:sz w:val="24"/>
                <w:lang w:val="en-US" w:eastAsia="zh-CN"/>
              </w:rPr>
              <w:t>6</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新建、改建、扩建产生油</w:t>
            </w:r>
          </w:p>
          <w:p>
            <w:pPr>
              <w:spacing w:line="300" w:lineRule="exact"/>
              <w:rPr>
                <w:rFonts w:hint="eastAsia" w:eastAsia="仿宋_GB2312"/>
                <w:color w:val="auto"/>
                <w:sz w:val="24"/>
              </w:rPr>
            </w:pPr>
            <w:r>
              <w:rPr>
                <w:rFonts w:hint="eastAsia" w:eastAsia="仿宋_GB2312"/>
                <w:color w:val="auto"/>
                <w:sz w:val="24"/>
              </w:rPr>
              <w:t>烟污染的餐饮服务经营</w:t>
            </w:r>
          </w:p>
          <w:p>
            <w:pPr>
              <w:spacing w:line="300" w:lineRule="exact"/>
              <w:rPr>
                <w:rFonts w:hint="eastAsia" w:eastAsia="仿宋_GB2312"/>
                <w:color w:val="auto"/>
                <w:sz w:val="24"/>
              </w:rPr>
            </w:pPr>
            <w:r>
              <w:rPr>
                <w:rFonts w:hint="eastAsia" w:eastAsia="仿宋_GB2312"/>
                <w:color w:val="auto"/>
                <w:sz w:val="24"/>
              </w:rPr>
              <w:t>场所</w:t>
            </w:r>
          </w:p>
        </w:tc>
        <w:tc>
          <w:tcPr>
            <w:tcW w:w="555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lang w:val="en-US" w:eastAsia="zh-CN"/>
              </w:rPr>
            </w:pPr>
            <w:r>
              <w:rPr>
                <w:rFonts w:hint="eastAsia" w:eastAsia="仿宋_GB2312"/>
                <w:color w:val="auto"/>
                <w:sz w:val="24"/>
              </w:rPr>
              <w:t>按照《衢州市城市市容和环境卫生管理条例》</w:t>
            </w:r>
            <w:r>
              <w:rPr>
                <w:rFonts w:hint="eastAsia" w:eastAsia="仿宋_GB2312"/>
                <w:color w:val="auto"/>
                <w:sz w:val="24"/>
                <w:lang w:eastAsia="zh-CN"/>
              </w:rPr>
              <w:t>第三十四条规定，除禁止从事餐饮服务项目区域外，办理餐饮服务项目相关证照需</w:t>
            </w:r>
            <w:r>
              <w:rPr>
                <w:rFonts w:hint="eastAsia" w:eastAsia="仿宋_GB2312"/>
                <w:color w:val="auto"/>
                <w:sz w:val="24"/>
              </w:rPr>
              <w:t>提交租赁协议、房产证或不动权证或村（居）、当地乡镇人民政府（街道办事处）、园区管委会出具的权属证明</w:t>
            </w:r>
            <w:r>
              <w:rPr>
                <w:rFonts w:hint="eastAsia" w:eastAsia="仿宋_GB2312"/>
                <w:color w:val="auto"/>
                <w:sz w:val="24"/>
                <w:lang w:eastAsia="zh-CN"/>
              </w:rPr>
              <w:t>，并经现场核查。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3"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lang w:val="en-US" w:eastAsia="zh-CN"/>
              </w:rPr>
            </w:pPr>
            <w:r>
              <w:rPr>
                <w:rFonts w:hint="eastAsia" w:eastAsia="仿宋_GB2312"/>
                <w:color w:val="auto"/>
                <w:sz w:val="24"/>
                <w:lang w:val="en-US" w:eastAsia="zh-CN"/>
              </w:rPr>
              <w:t>7</w:t>
            </w:r>
          </w:p>
        </w:tc>
        <w:tc>
          <w:tcPr>
            <w:tcW w:w="2505"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lang w:eastAsia="zh-CN"/>
              </w:rPr>
            </w:pPr>
            <w:r>
              <w:rPr>
                <w:rFonts w:hint="eastAsia" w:eastAsia="仿宋_GB2312"/>
                <w:color w:val="auto"/>
                <w:sz w:val="24"/>
                <w:lang w:eastAsia="zh-CN"/>
              </w:rPr>
              <w:t>市、区</w:t>
            </w:r>
            <w:r>
              <w:rPr>
                <w:rFonts w:hint="eastAsia" w:eastAsia="仿宋_GB2312"/>
                <w:color w:val="auto"/>
                <w:sz w:val="24"/>
              </w:rPr>
              <w:t>关于相关行业整治要求的其他</w:t>
            </w:r>
            <w:r>
              <w:rPr>
                <w:rFonts w:hint="eastAsia" w:eastAsia="仿宋_GB2312"/>
                <w:color w:val="auto"/>
                <w:sz w:val="24"/>
                <w:lang w:eastAsia="zh-CN"/>
              </w:rPr>
              <w:t>行业</w:t>
            </w:r>
          </w:p>
        </w:tc>
        <w:tc>
          <w:tcPr>
            <w:tcW w:w="5554"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eastAsia="仿宋_GB2312"/>
                <w:color w:val="auto"/>
                <w:sz w:val="24"/>
              </w:rPr>
            </w:pPr>
            <w:r>
              <w:rPr>
                <w:rFonts w:hint="eastAsia" w:eastAsia="仿宋_GB2312"/>
                <w:color w:val="auto"/>
                <w:sz w:val="24"/>
              </w:rPr>
              <w:t>提交相关行业整治规定的材料。</w:t>
            </w:r>
          </w:p>
        </w:tc>
      </w:tr>
    </w:tbl>
    <w:p>
      <w:pPr>
        <w:rPr>
          <w:rFonts w:hint="eastAsia" w:ascii="仿宋_GB2312" w:hAnsi="微软雅黑" w:eastAsia="仿宋_GB2312" w:cs="仿宋_GB2312"/>
          <w:b w:val="0"/>
          <w:i w:val="0"/>
          <w:caps w:val="0"/>
          <w:color w:val="333333"/>
          <w:spacing w:val="0"/>
          <w:sz w:val="31"/>
          <w:szCs w:val="3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BED351-B1A0-47ED-B940-678CCCEFD7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embedRegular r:id="rId2" w:fontKey="{FF2D9F89-1004-4737-A2D9-97BB093EE110}"/>
  </w:font>
  <w:font w:name="仿宋_GB2312">
    <w:panose1 w:val="02010609030101010101"/>
    <w:charset w:val="86"/>
    <w:family w:val="auto"/>
    <w:pitch w:val="default"/>
    <w:sig w:usb0="00000001" w:usb1="080E0000" w:usb2="00000000" w:usb3="00000000" w:csb0="00040000" w:csb1="00000000"/>
    <w:embedRegular r:id="rId3" w:fontKey="{F9724C22-B9B6-4C25-9A5B-D633EB136D6C}"/>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embedRegular r:id="rId4" w:fontKey="{A7733BC1-0FE8-4141-B1CB-A35EF565E6C4}"/>
  </w:font>
  <w:font w:name="方正小标宋简体">
    <w:panose1 w:val="02000000000000000000"/>
    <w:charset w:val="86"/>
    <w:family w:val="auto"/>
    <w:pitch w:val="default"/>
    <w:sig w:usb0="00000001" w:usb1="08000000" w:usb2="00000000" w:usb3="00000000" w:csb0="00040000" w:csb1="00000000"/>
    <w:embedRegular r:id="rId5" w:fontKey="{C060A05F-F4ED-48EC-BFE3-DEC32397596C}"/>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F24AE"/>
    <w:rsid w:val="2EB745BF"/>
    <w:rsid w:val="4DFF2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ca-62"/>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2018-09-17T07:38:00Z</dcterms:created>
  <dc:creator>Administrator</dc:creator>
  <cp:lastModifiedBy>Administrator</cp:lastModifiedBy>
  <dcterms:modified xsi:type="dcterms:W3CDTF">2018-09-17T07:49:11Z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